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23597" w14:textId="51C5DFAF" w:rsidR="007E5E93" w:rsidRPr="007E5E93" w:rsidRDefault="007E5E93" w:rsidP="007E5E93">
      <w:pPr>
        <w:rPr>
          <w:b/>
          <w:bCs/>
        </w:rPr>
      </w:pPr>
      <w:r w:rsidRPr="007E5E93">
        <w:rPr>
          <w:b/>
          <w:bCs/>
        </w:rPr>
        <w:t>Abu Dhabi Procurement Standards</w:t>
      </w:r>
    </w:p>
    <w:p w14:paraId="1090B4A4" w14:textId="77777777" w:rsidR="007E5E93" w:rsidRPr="007E5E93" w:rsidRDefault="007E5E93" w:rsidP="00CB7221">
      <w:pPr>
        <w:numPr>
          <w:ilvl w:val="0"/>
          <w:numId w:val="1"/>
        </w:numPr>
      </w:pPr>
      <w:r w:rsidRPr="007E5E93">
        <w:t>How do the "Delivery Terms" and "Payment Terms" relate to a "Purchase Order" within the procurement process described in this document?</w:t>
      </w:r>
    </w:p>
    <w:p w14:paraId="1A6EA403" w14:textId="77777777" w:rsidR="007E5E93" w:rsidRPr="007E5E93" w:rsidRDefault="007E5E93" w:rsidP="00CB7221">
      <w:pPr>
        <w:numPr>
          <w:ilvl w:val="0"/>
          <w:numId w:val="1"/>
        </w:numPr>
      </w:pPr>
      <w:r w:rsidRPr="007E5E93">
        <w:t>Describe the relationship between "Intellectual Property created during the tenure and framework of the contract" (Foreground Intellectual Property) and the "relevant Intellectual Property supplied by the contracting parties at the beginning of the engagement" (Background Intellectual Property), as defined in the standards.</w:t>
      </w:r>
    </w:p>
    <w:p w14:paraId="32994F25" w14:textId="77777777" w:rsidR="007E5E93" w:rsidRPr="007E5E93" w:rsidRDefault="007E5E93" w:rsidP="00CB7221">
      <w:pPr>
        <w:numPr>
          <w:ilvl w:val="0"/>
          <w:numId w:val="1"/>
        </w:numPr>
      </w:pPr>
      <w:r w:rsidRPr="007E5E93">
        <w:t>Based on the introduction and scope, what is the primary purpose of the Abu Dhabi Procurement Standards, and how does it aim to achieve it?</w:t>
      </w:r>
    </w:p>
    <w:p w14:paraId="3E7E0FD0" w14:textId="77777777" w:rsidR="007E5E93" w:rsidRPr="007E5E93" w:rsidRDefault="007E5E93" w:rsidP="00CB7221">
      <w:pPr>
        <w:numPr>
          <w:ilvl w:val="0"/>
          <w:numId w:val="1"/>
        </w:numPr>
      </w:pPr>
      <w:r w:rsidRPr="007E5E93">
        <w:t>Explain the significance of a "Valid Exception Code" in the context of issuing "post factum Purchase Orders" as outlined in the document.</w:t>
      </w:r>
    </w:p>
    <w:p w14:paraId="05318272" w14:textId="6661975B" w:rsidR="007E5E93" w:rsidRPr="007E5E93" w:rsidRDefault="007E5E93" w:rsidP="007E5E93">
      <w:pPr>
        <w:rPr>
          <w:b/>
          <w:bCs/>
        </w:rPr>
      </w:pPr>
      <w:r w:rsidRPr="007E5E93">
        <w:rPr>
          <w:b/>
          <w:bCs/>
        </w:rPr>
        <w:t>HR Bylaws</w:t>
      </w:r>
    </w:p>
    <w:p w14:paraId="631D2435" w14:textId="77777777" w:rsidR="007E5E93" w:rsidRPr="007E5E93" w:rsidRDefault="007E5E93" w:rsidP="00CB7221">
      <w:pPr>
        <w:numPr>
          <w:ilvl w:val="0"/>
          <w:numId w:val="2"/>
        </w:numPr>
      </w:pPr>
      <w:r w:rsidRPr="007E5E93">
        <w:t>Outline the disciplinary actions and their corresponding financial rules violations as presented in the penalty clauses.</w:t>
      </w:r>
    </w:p>
    <w:p w14:paraId="7002F62B" w14:textId="77777777" w:rsidR="007E5E93" w:rsidRPr="007E5E93" w:rsidRDefault="007E5E93" w:rsidP="00CB7221">
      <w:pPr>
        <w:numPr>
          <w:ilvl w:val="0"/>
          <w:numId w:val="2"/>
        </w:numPr>
      </w:pPr>
      <w:r w:rsidRPr="007E5E93">
        <w:t>Based on the penalties section, what are the different levels of disciplinary actions for various infringements, and how do they relate to preserving pension or bonus rights?</w:t>
      </w:r>
    </w:p>
    <w:p w14:paraId="7E69D530" w14:textId="77777777" w:rsidR="007E5E93" w:rsidRPr="007E5E93" w:rsidRDefault="007E5E93" w:rsidP="00CB7221">
      <w:pPr>
        <w:numPr>
          <w:ilvl w:val="0"/>
          <w:numId w:val="2"/>
        </w:numPr>
      </w:pPr>
      <w:r w:rsidRPr="007E5E93">
        <w:t>Summarize the overall objective of Decision No. (10) of 2020 as it relates to human resources in the Emirate of Abu Dhabi.</w:t>
      </w:r>
    </w:p>
    <w:p w14:paraId="3D249543" w14:textId="77777777" w:rsidR="007E5E93" w:rsidRPr="007E5E93" w:rsidRDefault="007E5E93" w:rsidP="00CB7221">
      <w:pPr>
        <w:numPr>
          <w:ilvl w:val="0"/>
          <w:numId w:val="2"/>
        </w:numPr>
      </w:pPr>
      <w:r w:rsidRPr="007E5E93">
        <w:t>Infer the hierarchical relationship between Law No. (6) of 2016 and Decision No. (10) of 2020, based on their descriptions in the document.</w:t>
      </w:r>
    </w:p>
    <w:p w14:paraId="0AC0E8EB" w14:textId="1B1566F8" w:rsidR="007E5E93" w:rsidRPr="007E5E93" w:rsidRDefault="007E5E93" w:rsidP="007E5E93">
      <w:pPr>
        <w:rPr>
          <w:b/>
          <w:bCs/>
        </w:rPr>
      </w:pPr>
      <w:r w:rsidRPr="007E5E93">
        <w:rPr>
          <w:b/>
          <w:bCs/>
        </w:rPr>
        <w:t>Procurement Manual (Ariba Aligned)</w:t>
      </w:r>
    </w:p>
    <w:p w14:paraId="3AC0360A" w14:textId="77777777" w:rsidR="007E5E93" w:rsidRPr="007E5E93" w:rsidRDefault="007E5E93" w:rsidP="00CB7221">
      <w:pPr>
        <w:numPr>
          <w:ilvl w:val="0"/>
          <w:numId w:val="6"/>
        </w:numPr>
      </w:pPr>
      <w:r w:rsidRPr="007E5E93">
        <w:t>Explain the roles of "Team Grader" and "User Enablement Team" within the context of "SAP Ariba" and their interdependencies.</w:t>
      </w:r>
    </w:p>
    <w:p w14:paraId="7AE5E350" w14:textId="77777777" w:rsidR="007E5E93" w:rsidRPr="007E5E93" w:rsidRDefault="007E5E93" w:rsidP="00CB7221">
      <w:pPr>
        <w:numPr>
          <w:ilvl w:val="0"/>
          <w:numId w:val="6"/>
        </w:numPr>
      </w:pPr>
      <w:r w:rsidRPr="007E5E93">
        <w:t>How does the concept of "Supplier Manager System Groups" relate to "Supplier" registration and qualification within the SAP Ariba framework?</w:t>
      </w:r>
    </w:p>
    <w:p w14:paraId="3C61EB5D" w14:textId="77777777" w:rsidR="007E5E93" w:rsidRPr="007E5E93" w:rsidRDefault="007E5E93" w:rsidP="00CB7221">
      <w:pPr>
        <w:numPr>
          <w:ilvl w:val="0"/>
          <w:numId w:val="6"/>
        </w:numPr>
      </w:pPr>
      <w:r w:rsidRPr="007E5E93">
        <w:t>Based on the introduction and scope, what is the primary objective of aligning the Procurement Manual with SAP Ariba?</w:t>
      </w:r>
    </w:p>
    <w:p w14:paraId="138F324B" w14:textId="77777777" w:rsidR="007E5E93" w:rsidRPr="007E5E93" w:rsidRDefault="007E5E93" w:rsidP="00CB7221">
      <w:pPr>
        <w:numPr>
          <w:ilvl w:val="0"/>
          <w:numId w:val="6"/>
        </w:numPr>
      </w:pPr>
      <w:r w:rsidRPr="007E5E93">
        <w:t>Discuss how the manual's definitions of "Technical Envelope" and "Technical and Commercial Envelope" facilitate different aspects of the sourcing event process.</w:t>
      </w:r>
    </w:p>
    <w:p w14:paraId="7789231C" w14:textId="0722BE49" w:rsidR="007E5E93" w:rsidRPr="007E5E93" w:rsidRDefault="007E5E93" w:rsidP="007E5E93">
      <w:pPr>
        <w:rPr>
          <w:b/>
          <w:bCs/>
        </w:rPr>
      </w:pPr>
      <w:r w:rsidRPr="007E5E93">
        <w:rPr>
          <w:b/>
          <w:bCs/>
        </w:rPr>
        <w:t>Procurement Manual (Business Process)</w:t>
      </w:r>
    </w:p>
    <w:p w14:paraId="0CFD7448" w14:textId="77777777" w:rsidR="007E5E93" w:rsidRPr="007E5E93" w:rsidRDefault="007E5E93" w:rsidP="00CB7221">
      <w:pPr>
        <w:numPr>
          <w:ilvl w:val="0"/>
          <w:numId w:val="7"/>
        </w:numPr>
      </w:pPr>
      <w:r w:rsidRPr="007E5E93">
        <w:lastRenderedPageBreak/>
        <w:t>Differentiate between "Request for Proposal (RFP)" and "Request for Quotation (RFQ)" based on their stated purposes and the type of information sought from suppliers.</w:t>
      </w:r>
    </w:p>
    <w:p w14:paraId="72629438" w14:textId="77777777" w:rsidR="007E5E93" w:rsidRPr="007E5E93" w:rsidRDefault="007E5E93" w:rsidP="00CB7221">
      <w:pPr>
        <w:numPr>
          <w:ilvl w:val="0"/>
          <w:numId w:val="7"/>
        </w:numPr>
      </w:pPr>
      <w:r w:rsidRPr="007E5E93">
        <w:t>Illustrate the relationship between a "Sole/Single Source" tendering method and the concept of "Supplier" qualification within the procurement process.</w:t>
      </w:r>
    </w:p>
    <w:p w14:paraId="1D3C04B8" w14:textId="77777777" w:rsidR="007E5E93" w:rsidRPr="007E5E93" w:rsidRDefault="007E5E93" w:rsidP="00CB7221">
      <w:pPr>
        <w:numPr>
          <w:ilvl w:val="0"/>
          <w:numId w:val="7"/>
        </w:numPr>
      </w:pPr>
      <w:r w:rsidRPr="007E5E93">
        <w:t>Based on the overall content, what is the main purpose of this Procurement Manual in relation to business processes?</w:t>
      </w:r>
    </w:p>
    <w:p w14:paraId="228DBF58" w14:textId="77777777" w:rsidR="007E5E93" w:rsidRPr="007E5E93" w:rsidRDefault="007E5E93" w:rsidP="00CB7221">
      <w:pPr>
        <w:numPr>
          <w:ilvl w:val="0"/>
          <w:numId w:val="7"/>
        </w:numPr>
      </w:pPr>
      <w:r w:rsidRPr="007E5E93">
        <w:t>Explain how the definition of "Reverse Auction (eAuction)" reflects its role in achieving competitive bids for specific types of goods, services, and projects.</w:t>
      </w:r>
    </w:p>
    <w:p w14:paraId="2ADD6A9E" w14:textId="080A72CF" w:rsidR="00085D02" w:rsidRPr="007E5E93" w:rsidRDefault="00085D02" w:rsidP="00085D02">
      <w:pPr>
        <w:rPr>
          <w:b/>
          <w:bCs/>
        </w:rPr>
      </w:pPr>
      <w:r>
        <w:rPr>
          <w:b/>
          <w:bCs/>
        </w:rPr>
        <w:t>Information Security</w:t>
      </w:r>
    </w:p>
    <w:p w14:paraId="52979645" w14:textId="1F8A99FE" w:rsidR="00867582" w:rsidRDefault="00867582" w:rsidP="00EA379B">
      <w:pPr>
        <w:numPr>
          <w:ilvl w:val="0"/>
          <w:numId w:val="9"/>
        </w:numPr>
      </w:pPr>
      <w:r w:rsidRPr="00867582">
        <w:t>Explain the relationship between the risk-based approach and the "Always Applicable" controls as described in the UAE IA Standards. How should an implementing entity apply both concepts when determining their security controls?</w:t>
      </w:r>
    </w:p>
    <w:p w14:paraId="5DB2C336" w14:textId="0B3592F7" w:rsidR="00962D10" w:rsidRDefault="00962D10" w:rsidP="00867582">
      <w:pPr>
        <w:numPr>
          <w:ilvl w:val="0"/>
          <w:numId w:val="9"/>
        </w:numPr>
      </w:pPr>
      <w:r w:rsidRPr="00962D10">
        <w:t>What are the specific sub-controls listed under "T5.2.3 USER SECURITY CREDENTIALS MANAGEMENT"?</w:t>
      </w:r>
    </w:p>
    <w:p w14:paraId="271089F1" w14:textId="574C7FFD" w:rsidR="00962D10" w:rsidRDefault="00962D10" w:rsidP="00867582">
      <w:pPr>
        <w:numPr>
          <w:ilvl w:val="0"/>
          <w:numId w:val="9"/>
        </w:numPr>
      </w:pPr>
      <w:r w:rsidRPr="00962D10">
        <w:t>According to Annex C, what is the corresponding NIST SP 800-53 control for the UAE IA Standard "M4.2.1 Screening"?</w:t>
      </w:r>
    </w:p>
    <w:p w14:paraId="47046F68" w14:textId="70DAA2C7" w:rsidR="00DE6DE3" w:rsidRDefault="00DE6DE3" w:rsidP="00DE6DE3">
      <w:pPr>
        <w:numPr>
          <w:ilvl w:val="0"/>
          <w:numId w:val="9"/>
        </w:numPr>
      </w:pPr>
      <w:r w:rsidRPr="00DE6DE3">
        <w:t>What is the definition of "Critical Entity" as provided in Annex F of the UAE IA Standards?</w:t>
      </w:r>
    </w:p>
    <w:sectPr w:rsidR="00DE6DE3" w:rsidSect="00EE0681">
      <w:footerReference w:type="even" r:id="rId7"/>
      <w:footerReference w:type="default" r:id="rId8"/>
      <w:footerReference w:type="first" r:id="rId9"/>
      <w:pgSz w:w="11907" w:h="16840"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5FEAD" w14:textId="77777777" w:rsidR="00387842" w:rsidRDefault="00387842" w:rsidP="007E5E93">
      <w:pPr>
        <w:spacing w:after="0" w:line="240" w:lineRule="auto"/>
      </w:pPr>
      <w:r>
        <w:separator/>
      </w:r>
    </w:p>
  </w:endnote>
  <w:endnote w:type="continuationSeparator" w:id="0">
    <w:p w14:paraId="1E84A387" w14:textId="77777777" w:rsidR="00387842" w:rsidRDefault="00387842" w:rsidP="007E5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201D1" w14:textId="3CC046D9" w:rsidR="007E5E93" w:rsidRDefault="0084287F">
    <w:pPr>
      <w:pStyle w:val="Footer"/>
    </w:pPr>
    <w:r>
      <w:rPr>
        <w:noProof/>
      </w:rPr>
      <mc:AlternateContent>
        <mc:Choice Requires="wps">
          <w:drawing>
            <wp:anchor distT="0" distB="0" distL="0" distR="0" simplePos="0" relativeHeight="251659264" behindDoc="0" locked="0" layoutInCell="1" allowOverlap="1" wp14:anchorId="376ADA9C" wp14:editId="1DF1F71F">
              <wp:simplePos x="635" y="635"/>
              <wp:positionH relativeFrom="page">
                <wp:align>left</wp:align>
              </wp:positionH>
              <wp:positionV relativeFrom="page">
                <wp:align>bottom</wp:align>
              </wp:positionV>
              <wp:extent cx="987425" cy="370205"/>
              <wp:effectExtent l="0" t="0" r="3175" b="0"/>
              <wp:wrapNone/>
              <wp:docPr id="1793930662" name="Text Box 5" descr="OPEN | مفتوحة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7425" cy="370205"/>
                      </a:xfrm>
                      <a:prstGeom prst="rect">
                        <a:avLst/>
                      </a:prstGeom>
                      <a:noFill/>
                      <a:ln>
                        <a:noFill/>
                      </a:ln>
                    </wps:spPr>
                    <wps:txbx>
                      <w:txbxContent>
                        <w:p w14:paraId="61472B95" w14:textId="025FE0AE" w:rsidR="0084287F" w:rsidRPr="0084287F" w:rsidRDefault="0084287F" w:rsidP="0084287F">
                          <w:pPr>
                            <w:spacing w:after="0"/>
                            <w:rPr>
                              <w:rFonts w:ascii="Calibri" w:eastAsia="Calibri" w:hAnsi="Calibri" w:cs="Calibri"/>
                              <w:noProof/>
                              <w:color w:val="45BF50"/>
                              <w:sz w:val="20"/>
                              <w:szCs w:val="20"/>
                            </w:rPr>
                          </w:pPr>
                          <w:r w:rsidRPr="0084287F">
                            <w:rPr>
                              <w:rFonts w:ascii="Calibri" w:eastAsia="Calibri" w:hAnsi="Calibri" w:cs="Calibri"/>
                              <w:noProof/>
                              <w:color w:val="45BF50"/>
                              <w:sz w:val="20"/>
                              <w:szCs w:val="20"/>
                            </w:rPr>
                            <w:t xml:space="preserve">OPEN | </w:t>
                          </w:r>
                          <w:r w:rsidRPr="0084287F">
                            <w:rPr>
                              <w:rFonts w:ascii="Calibri" w:eastAsia="Calibri" w:hAnsi="Calibri" w:cs="Calibri"/>
                              <w:noProof/>
                              <w:color w:val="45BF50"/>
                              <w:sz w:val="20"/>
                              <w:szCs w:val="20"/>
                              <w:rtl/>
                            </w:rPr>
                            <w:t>مفتوحة</w:t>
                          </w:r>
                          <w:r w:rsidRPr="0084287F">
                            <w:rPr>
                              <w:rFonts w:ascii="Calibri" w:eastAsia="Calibri" w:hAnsi="Calibri" w:cs="Calibri"/>
                              <w:noProof/>
                              <w:color w:val="45BF50"/>
                              <w:sz w:val="20"/>
                              <w:szCs w:val="2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6ADA9C" id="_x0000_t202" coordsize="21600,21600" o:spt="202" path="m,l,21600r21600,l21600,xe">
              <v:stroke joinstyle="miter"/>
              <v:path gradientshapeok="t" o:connecttype="rect"/>
            </v:shapetype>
            <v:shape id="Text Box 5" o:spid="_x0000_s1026" type="#_x0000_t202" alt="OPEN | مفتوحة " style="position:absolute;margin-left:0;margin-top:0;width:77.7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" filled="f" stroked="f">
              <v:textbox style="mso-fit-shape-to-text:t" inset="20pt,0,0,15pt">
                <w:txbxContent>
                  <w:p w14:paraId="61472B95" w14:textId="025FE0AE" w:rsidR="0084287F" w:rsidRPr="0084287F" w:rsidRDefault="0084287F" w:rsidP="0084287F">
                    <w:pPr>
                      <w:spacing w:after="0"/>
                      <w:rPr>
                        <w:rFonts w:ascii="Calibri" w:eastAsia="Calibri" w:hAnsi="Calibri" w:cs="Calibri"/>
                        <w:noProof/>
                        <w:color w:val="45BF50"/>
                        <w:sz w:val="20"/>
                        <w:szCs w:val="20"/>
                      </w:rPr>
                    </w:pPr>
                    <w:r w:rsidRPr="0084287F">
                      <w:rPr>
                        <w:rFonts w:ascii="Calibri" w:eastAsia="Calibri" w:hAnsi="Calibri" w:cs="Calibri"/>
                        <w:noProof/>
                        <w:color w:val="45BF50"/>
                        <w:sz w:val="20"/>
                        <w:szCs w:val="20"/>
                      </w:rPr>
                      <w:t xml:space="preserve">OPEN | </w:t>
                    </w:r>
                    <w:r w:rsidRPr="0084287F">
                      <w:rPr>
                        <w:rFonts w:ascii="Calibri" w:eastAsia="Calibri" w:hAnsi="Calibri" w:cs="Calibri"/>
                        <w:noProof/>
                        <w:color w:val="45BF50"/>
                        <w:sz w:val="20"/>
                        <w:szCs w:val="20"/>
                        <w:rtl/>
                      </w:rPr>
                      <w:t>مفتوحة</w:t>
                    </w:r>
                    <w:r w:rsidRPr="0084287F">
                      <w:rPr>
                        <w:rFonts w:ascii="Calibri" w:eastAsia="Calibri" w:hAnsi="Calibri" w:cs="Calibri"/>
                        <w:noProof/>
                        <w:color w:val="45BF50"/>
                        <w:sz w:val="20"/>
                        <w:szCs w:val="20"/>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309B4" w14:textId="72C7EC3C" w:rsidR="007E5E93" w:rsidRDefault="0084287F">
    <w:pPr>
      <w:pStyle w:val="Footer"/>
    </w:pPr>
    <w:r>
      <w:rPr>
        <w:noProof/>
      </w:rPr>
      <mc:AlternateContent>
        <mc:Choice Requires="wps">
          <w:drawing>
            <wp:anchor distT="0" distB="0" distL="0" distR="0" simplePos="0" relativeHeight="251660288" behindDoc="0" locked="0" layoutInCell="1" allowOverlap="1" wp14:anchorId="7ABEB008" wp14:editId="06737350">
              <wp:simplePos x="914400" y="10506774"/>
              <wp:positionH relativeFrom="page">
                <wp:align>left</wp:align>
              </wp:positionH>
              <wp:positionV relativeFrom="page">
                <wp:align>bottom</wp:align>
              </wp:positionV>
              <wp:extent cx="987425" cy="370205"/>
              <wp:effectExtent l="0" t="0" r="3175" b="0"/>
              <wp:wrapNone/>
              <wp:docPr id="209822776" name="Text Box 6" descr="OPEN | مفتوحة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7425" cy="370205"/>
                      </a:xfrm>
                      <a:prstGeom prst="rect">
                        <a:avLst/>
                      </a:prstGeom>
                      <a:noFill/>
                      <a:ln>
                        <a:noFill/>
                      </a:ln>
                    </wps:spPr>
                    <wps:txbx>
                      <w:txbxContent>
                        <w:p w14:paraId="0057533C" w14:textId="3120E649" w:rsidR="0084287F" w:rsidRPr="0084287F" w:rsidRDefault="0084287F" w:rsidP="0084287F">
                          <w:pPr>
                            <w:spacing w:after="0"/>
                            <w:rPr>
                              <w:rFonts w:ascii="Calibri" w:eastAsia="Calibri" w:hAnsi="Calibri" w:cs="Calibri"/>
                              <w:noProof/>
                              <w:color w:val="45BF50"/>
                              <w:sz w:val="20"/>
                              <w:szCs w:val="20"/>
                            </w:rPr>
                          </w:pPr>
                          <w:r w:rsidRPr="0084287F">
                            <w:rPr>
                              <w:rFonts w:ascii="Calibri" w:eastAsia="Calibri" w:hAnsi="Calibri" w:cs="Calibri"/>
                              <w:noProof/>
                              <w:color w:val="45BF50"/>
                              <w:sz w:val="20"/>
                              <w:szCs w:val="20"/>
                            </w:rPr>
                            <w:t xml:space="preserve">OPEN | </w:t>
                          </w:r>
                          <w:r w:rsidRPr="0084287F">
                            <w:rPr>
                              <w:rFonts w:ascii="Calibri" w:eastAsia="Calibri" w:hAnsi="Calibri" w:cs="Calibri"/>
                              <w:noProof/>
                              <w:color w:val="45BF50"/>
                              <w:sz w:val="20"/>
                              <w:szCs w:val="20"/>
                              <w:rtl/>
                            </w:rPr>
                            <w:t>مفتوحة</w:t>
                          </w:r>
                          <w:r w:rsidRPr="0084287F">
                            <w:rPr>
                              <w:rFonts w:ascii="Calibri" w:eastAsia="Calibri" w:hAnsi="Calibri" w:cs="Calibri"/>
                              <w:noProof/>
                              <w:color w:val="45BF50"/>
                              <w:sz w:val="20"/>
                              <w:szCs w:val="2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BEB008" id="_x0000_t202" coordsize="21600,21600" o:spt="202" path="m,l,21600r21600,l21600,xe">
              <v:stroke joinstyle="miter"/>
              <v:path gradientshapeok="t" o:connecttype="rect"/>
            </v:shapetype>
            <v:shape id="Text Box 6" o:spid="_x0000_s1027" type="#_x0000_t202" alt="OPEN | مفتوحة " style="position:absolute;margin-left:0;margin-top:0;width:77.7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" filled="f" stroked="f">
              <v:textbox style="mso-fit-shape-to-text:t" inset="20pt,0,0,15pt">
                <w:txbxContent>
                  <w:p w14:paraId="0057533C" w14:textId="3120E649" w:rsidR="0084287F" w:rsidRPr="0084287F" w:rsidRDefault="0084287F" w:rsidP="0084287F">
                    <w:pPr>
                      <w:spacing w:after="0"/>
                      <w:rPr>
                        <w:rFonts w:ascii="Calibri" w:eastAsia="Calibri" w:hAnsi="Calibri" w:cs="Calibri"/>
                        <w:noProof/>
                        <w:color w:val="45BF50"/>
                        <w:sz w:val="20"/>
                        <w:szCs w:val="20"/>
                      </w:rPr>
                    </w:pPr>
                    <w:r w:rsidRPr="0084287F">
                      <w:rPr>
                        <w:rFonts w:ascii="Calibri" w:eastAsia="Calibri" w:hAnsi="Calibri" w:cs="Calibri"/>
                        <w:noProof/>
                        <w:color w:val="45BF50"/>
                        <w:sz w:val="20"/>
                        <w:szCs w:val="20"/>
                      </w:rPr>
                      <w:t xml:space="preserve">OPEN | </w:t>
                    </w:r>
                    <w:r w:rsidRPr="0084287F">
                      <w:rPr>
                        <w:rFonts w:ascii="Calibri" w:eastAsia="Calibri" w:hAnsi="Calibri" w:cs="Calibri"/>
                        <w:noProof/>
                        <w:color w:val="45BF50"/>
                        <w:sz w:val="20"/>
                        <w:szCs w:val="20"/>
                        <w:rtl/>
                      </w:rPr>
                      <w:t>مفتوحة</w:t>
                    </w:r>
                    <w:r w:rsidRPr="0084287F">
                      <w:rPr>
                        <w:rFonts w:ascii="Calibri" w:eastAsia="Calibri" w:hAnsi="Calibri" w:cs="Calibri"/>
                        <w:noProof/>
                        <w:color w:val="45BF50"/>
                        <w:sz w:val="20"/>
                        <w:szCs w:val="20"/>
                      </w:rP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AD8F7" w14:textId="3C4F9D9B" w:rsidR="007E5E93" w:rsidRDefault="0084287F">
    <w:pPr>
      <w:pStyle w:val="Footer"/>
    </w:pPr>
    <w:r>
      <w:rPr>
        <w:noProof/>
      </w:rPr>
      <mc:AlternateContent>
        <mc:Choice Requires="wps">
          <w:drawing>
            <wp:anchor distT="0" distB="0" distL="0" distR="0" simplePos="0" relativeHeight="251658240" behindDoc="0" locked="0" layoutInCell="1" allowOverlap="1" wp14:anchorId="555E28B0" wp14:editId="63C1E12F">
              <wp:simplePos x="635" y="635"/>
              <wp:positionH relativeFrom="page">
                <wp:align>left</wp:align>
              </wp:positionH>
              <wp:positionV relativeFrom="page">
                <wp:align>bottom</wp:align>
              </wp:positionV>
              <wp:extent cx="987425" cy="370205"/>
              <wp:effectExtent l="0" t="0" r="3175" b="0"/>
              <wp:wrapNone/>
              <wp:docPr id="1884950228" name="Text Box 4" descr="OPEN | مفتوحة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7425" cy="370205"/>
                      </a:xfrm>
                      <a:prstGeom prst="rect">
                        <a:avLst/>
                      </a:prstGeom>
                      <a:noFill/>
                      <a:ln>
                        <a:noFill/>
                      </a:ln>
                    </wps:spPr>
                    <wps:txbx>
                      <w:txbxContent>
                        <w:p w14:paraId="2BF430E0" w14:textId="5203BC91" w:rsidR="0084287F" w:rsidRPr="0084287F" w:rsidRDefault="0084287F" w:rsidP="0084287F">
                          <w:pPr>
                            <w:spacing w:after="0"/>
                            <w:rPr>
                              <w:rFonts w:ascii="Calibri" w:eastAsia="Calibri" w:hAnsi="Calibri" w:cs="Calibri"/>
                              <w:noProof/>
                              <w:color w:val="45BF50"/>
                              <w:sz w:val="20"/>
                              <w:szCs w:val="20"/>
                            </w:rPr>
                          </w:pPr>
                          <w:r w:rsidRPr="0084287F">
                            <w:rPr>
                              <w:rFonts w:ascii="Calibri" w:eastAsia="Calibri" w:hAnsi="Calibri" w:cs="Calibri"/>
                              <w:noProof/>
                              <w:color w:val="45BF50"/>
                              <w:sz w:val="20"/>
                              <w:szCs w:val="20"/>
                            </w:rPr>
                            <w:t xml:space="preserve">OPEN | </w:t>
                          </w:r>
                          <w:r w:rsidRPr="0084287F">
                            <w:rPr>
                              <w:rFonts w:ascii="Calibri" w:eastAsia="Calibri" w:hAnsi="Calibri" w:cs="Calibri"/>
                              <w:noProof/>
                              <w:color w:val="45BF50"/>
                              <w:sz w:val="20"/>
                              <w:szCs w:val="20"/>
                              <w:rtl/>
                            </w:rPr>
                            <w:t>مفتوحة</w:t>
                          </w:r>
                          <w:r w:rsidRPr="0084287F">
                            <w:rPr>
                              <w:rFonts w:ascii="Calibri" w:eastAsia="Calibri" w:hAnsi="Calibri" w:cs="Calibri"/>
                              <w:noProof/>
                              <w:color w:val="45BF50"/>
                              <w:sz w:val="20"/>
                              <w:szCs w:val="20"/>
                            </w:rPr>
                            <w:t xml:space="preserve">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5E28B0" id="_x0000_t202" coordsize="21600,21600" o:spt="202" path="m,l,21600r21600,l21600,xe">
              <v:stroke joinstyle="miter"/>
              <v:path gradientshapeok="t" o:connecttype="rect"/>
            </v:shapetype>
            <v:shape id="Text Box 4" o:spid="_x0000_s1028" type="#_x0000_t202" alt="OPEN | مفتوحة " style="position:absolute;margin-left:0;margin-top:0;width:77.7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" filled="f" stroked="f">
              <v:textbox style="mso-fit-shape-to-text:t" inset="20pt,0,0,15pt">
                <w:txbxContent>
                  <w:p w14:paraId="2BF430E0" w14:textId="5203BC91" w:rsidR="0084287F" w:rsidRPr="0084287F" w:rsidRDefault="0084287F" w:rsidP="0084287F">
                    <w:pPr>
                      <w:spacing w:after="0"/>
                      <w:rPr>
                        <w:rFonts w:ascii="Calibri" w:eastAsia="Calibri" w:hAnsi="Calibri" w:cs="Calibri"/>
                        <w:noProof/>
                        <w:color w:val="45BF50"/>
                        <w:sz w:val="20"/>
                        <w:szCs w:val="20"/>
                      </w:rPr>
                    </w:pPr>
                    <w:r w:rsidRPr="0084287F">
                      <w:rPr>
                        <w:rFonts w:ascii="Calibri" w:eastAsia="Calibri" w:hAnsi="Calibri" w:cs="Calibri"/>
                        <w:noProof/>
                        <w:color w:val="45BF50"/>
                        <w:sz w:val="20"/>
                        <w:szCs w:val="20"/>
                      </w:rPr>
                      <w:t xml:space="preserve">OPEN | </w:t>
                    </w:r>
                    <w:r w:rsidRPr="0084287F">
                      <w:rPr>
                        <w:rFonts w:ascii="Calibri" w:eastAsia="Calibri" w:hAnsi="Calibri" w:cs="Calibri"/>
                        <w:noProof/>
                        <w:color w:val="45BF50"/>
                        <w:sz w:val="20"/>
                        <w:szCs w:val="20"/>
                        <w:rtl/>
                      </w:rPr>
                      <w:t>مفتوحة</w:t>
                    </w:r>
                    <w:r w:rsidRPr="0084287F">
                      <w:rPr>
                        <w:rFonts w:ascii="Calibri" w:eastAsia="Calibri" w:hAnsi="Calibri" w:cs="Calibri"/>
                        <w:noProof/>
                        <w:color w:val="45BF50"/>
                        <w:sz w:val="20"/>
                        <w:szCs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19862" w14:textId="77777777" w:rsidR="00387842" w:rsidRDefault="00387842" w:rsidP="007E5E93">
      <w:pPr>
        <w:spacing w:after="0" w:line="240" w:lineRule="auto"/>
      </w:pPr>
      <w:r>
        <w:separator/>
      </w:r>
    </w:p>
  </w:footnote>
  <w:footnote w:type="continuationSeparator" w:id="0">
    <w:p w14:paraId="5126910C" w14:textId="77777777" w:rsidR="00387842" w:rsidRDefault="00387842" w:rsidP="007E5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46CE0"/>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33B3"/>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515DA"/>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32070"/>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C4560"/>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51A31"/>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A5D45"/>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5788"/>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E6CFD"/>
    <w:multiLevelType w:val="multilevel"/>
    <w:tmpl w:val="DD1E5B5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811036">
    <w:abstractNumId w:val="2"/>
  </w:num>
  <w:num w:numId="2" w16cid:durableId="2062972591">
    <w:abstractNumId w:val="6"/>
  </w:num>
  <w:num w:numId="3" w16cid:durableId="744491915">
    <w:abstractNumId w:val="7"/>
  </w:num>
  <w:num w:numId="4" w16cid:durableId="238911256">
    <w:abstractNumId w:val="8"/>
  </w:num>
  <w:num w:numId="5" w16cid:durableId="1763068863">
    <w:abstractNumId w:val="0"/>
  </w:num>
  <w:num w:numId="6" w16cid:durableId="1020468581">
    <w:abstractNumId w:val="1"/>
  </w:num>
  <w:num w:numId="7" w16cid:durableId="970284007">
    <w:abstractNumId w:val="5"/>
  </w:num>
  <w:num w:numId="8" w16cid:durableId="806976402">
    <w:abstractNumId w:val="4"/>
  </w:num>
  <w:num w:numId="9" w16cid:durableId="517890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6B"/>
    <w:rsid w:val="00073A3E"/>
    <w:rsid w:val="00085D02"/>
    <w:rsid w:val="000A7344"/>
    <w:rsid w:val="0014046B"/>
    <w:rsid w:val="00387842"/>
    <w:rsid w:val="00447C98"/>
    <w:rsid w:val="004E111F"/>
    <w:rsid w:val="005335F7"/>
    <w:rsid w:val="007E5E93"/>
    <w:rsid w:val="0084287F"/>
    <w:rsid w:val="00867582"/>
    <w:rsid w:val="00962D10"/>
    <w:rsid w:val="00C326AF"/>
    <w:rsid w:val="00C80C88"/>
    <w:rsid w:val="00CB7221"/>
    <w:rsid w:val="00DE6DE3"/>
    <w:rsid w:val="00EA379B"/>
    <w:rsid w:val="00EE0681"/>
    <w:rsid w:val="00F05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AE17"/>
  <w15:chartTrackingRefBased/>
  <w15:docId w15:val="{B5D5665D-4940-4715-BEB0-16942FAB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46B"/>
    <w:rPr>
      <w:rFonts w:eastAsiaTheme="majorEastAsia" w:cstheme="majorBidi"/>
      <w:color w:val="272727" w:themeColor="text1" w:themeTint="D8"/>
    </w:rPr>
  </w:style>
  <w:style w:type="paragraph" w:styleId="Title">
    <w:name w:val="Title"/>
    <w:basedOn w:val="Normal"/>
    <w:next w:val="Normal"/>
    <w:link w:val="TitleChar"/>
    <w:uiPriority w:val="10"/>
    <w:qFormat/>
    <w:rsid w:val="00140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46B"/>
    <w:pPr>
      <w:spacing w:before="160"/>
      <w:jc w:val="center"/>
    </w:pPr>
    <w:rPr>
      <w:i/>
      <w:iCs/>
      <w:color w:val="404040" w:themeColor="text1" w:themeTint="BF"/>
    </w:rPr>
  </w:style>
  <w:style w:type="character" w:customStyle="1" w:styleId="QuoteChar">
    <w:name w:val="Quote Char"/>
    <w:basedOn w:val="DefaultParagraphFont"/>
    <w:link w:val="Quote"/>
    <w:uiPriority w:val="29"/>
    <w:rsid w:val="0014046B"/>
    <w:rPr>
      <w:i/>
      <w:iCs/>
      <w:color w:val="404040" w:themeColor="text1" w:themeTint="BF"/>
    </w:rPr>
  </w:style>
  <w:style w:type="paragraph" w:styleId="ListParagraph">
    <w:name w:val="List Paragraph"/>
    <w:basedOn w:val="Normal"/>
    <w:uiPriority w:val="34"/>
    <w:qFormat/>
    <w:rsid w:val="0014046B"/>
    <w:pPr>
      <w:ind w:left="720"/>
      <w:contextualSpacing/>
    </w:pPr>
  </w:style>
  <w:style w:type="character" w:styleId="IntenseEmphasis">
    <w:name w:val="Intense Emphasis"/>
    <w:basedOn w:val="DefaultParagraphFont"/>
    <w:uiPriority w:val="21"/>
    <w:qFormat/>
    <w:rsid w:val="0014046B"/>
    <w:rPr>
      <w:i/>
      <w:iCs/>
      <w:color w:val="0F4761" w:themeColor="accent1" w:themeShade="BF"/>
    </w:rPr>
  </w:style>
  <w:style w:type="paragraph" w:styleId="IntenseQuote">
    <w:name w:val="Intense Quote"/>
    <w:basedOn w:val="Normal"/>
    <w:next w:val="Normal"/>
    <w:link w:val="IntenseQuoteChar"/>
    <w:uiPriority w:val="30"/>
    <w:qFormat/>
    <w:rsid w:val="00140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46B"/>
    <w:rPr>
      <w:i/>
      <w:iCs/>
      <w:color w:val="0F4761" w:themeColor="accent1" w:themeShade="BF"/>
    </w:rPr>
  </w:style>
  <w:style w:type="character" w:styleId="IntenseReference">
    <w:name w:val="Intense Reference"/>
    <w:basedOn w:val="DefaultParagraphFont"/>
    <w:uiPriority w:val="32"/>
    <w:qFormat/>
    <w:rsid w:val="0014046B"/>
    <w:rPr>
      <w:b/>
      <w:bCs/>
      <w:smallCaps/>
      <w:color w:val="0F4761" w:themeColor="accent1" w:themeShade="BF"/>
      <w:spacing w:val="5"/>
    </w:rPr>
  </w:style>
  <w:style w:type="paragraph" w:styleId="Footer">
    <w:name w:val="footer"/>
    <w:basedOn w:val="Normal"/>
    <w:link w:val="FooterChar"/>
    <w:uiPriority w:val="99"/>
    <w:unhideWhenUsed/>
    <w:rsid w:val="007E5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6188">
      <w:bodyDiv w:val="1"/>
      <w:marLeft w:val="0"/>
      <w:marRight w:val="0"/>
      <w:marTop w:val="0"/>
      <w:marBottom w:val="0"/>
      <w:divBdr>
        <w:top w:val="none" w:sz="0" w:space="0" w:color="auto"/>
        <w:left w:val="none" w:sz="0" w:space="0" w:color="auto"/>
        <w:bottom w:val="none" w:sz="0" w:space="0" w:color="auto"/>
        <w:right w:val="none" w:sz="0" w:space="0" w:color="auto"/>
      </w:divBdr>
    </w:div>
    <w:div w:id="5204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Tanvir Ansari</dc:creator>
  <cp:keywords/>
  <dc:description/>
  <cp:lastModifiedBy>Dr. Tanvir Ansari</cp:lastModifiedBy>
  <cp:revision>9</cp:revision>
  <dcterms:created xsi:type="dcterms:W3CDTF">2025-07-07T12:04:00Z</dcterms:created>
  <dcterms:modified xsi:type="dcterms:W3CDTF">2025-07-07T12:14:00Z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705a0ed4,6aed35a6,c81a438</vt:lpwstr>
  </property>
  <property fmtid="{D5CDD505-2E9C-101B-9397-08002B2CF9AE}" pid="3" name="ClassificationContentMarkingFooterFontProps">
    <vt:lpwstr>#45bf50,10,Calibri</vt:lpwstr>
  </property>
  <property fmtid="{D5CDD505-2E9C-101B-9397-08002B2CF9AE}" pid="4" name="ClassificationContentMarkingFooterText">
    <vt:lpwstr>OPEN | مفتوحة </vt:lpwstr>
  </property>
  <property fmtid="{D5CDD505-2E9C-101B-9397-08002B2CF9AE}" pid="5" name="MSIP_Label_81c27b0d-d15d-47ac-9dd4-a321583f4439_Enabled">
    <vt:lpwstr>true</vt:lpwstr>
  </property>
  <property fmtid="{D5CDD505-2E9C-101B-9397-08002B2CF9AE}" pid="6" name="MSIP_Label_81c27b0d-d15d-47ac-9dd4-a321583f4439_SetDate">
    <vt:lpwstr>2025-06-04T03:54:58Z</vt:lpwstr>
  </property>
  <property fmtid="{D5CDD505-2E9C-101B-9397-08002B2CF9AE}" pid="7" name="MSIP_Label_81c27b0d-d15d-47ac-9dd4-a321583f4439_Method">
    <vt:lpwstr>Privileged</vt:lpwstr>
  </property>
  <property fmtid="{D5CDD505-2E9C-101B-9397-08002B2CF9AE}" pid="8" name="MSIP_Label_81c27b0d-d15d-47ac-9dd4-a321583f4439_Name">
    <vt:lpwstr>Open</vt:lpwstr>
  </property>
  <property fmtid="{D5CDD505-2E9C-101B-9397-08002B2CF9AE}" pid="9" name="MSIP_Label_81c27b0d-d15d-47ac-9dd4-a321583f4439_SiteId">
    <vt:lpwstr>0cefd05a-5b38-4ce7-96bb-c31e6e251d18</vt:lpwstr>
  </property>
  <property fmtid="{D5CDD505-2E9C-101B-9397-08002B2CF9AE}" pid="10" name="MSIP_Label_81c27b0d-d15d-47ac-9dd4-a321583f4439_ActionId">
    <vt:lpwstr>7052d015-7641-4eda-a66d-5fc658a47945</vt:lpwstr>
  </property>
  <property fmtid="{D5CDD505-2E9C-101B-9397-08002B2CF9AE}" pid="11" name="MSIP_Label_81c27b0d-d15d-47ac-9dd4-a321583f4439_ContentBits">
    <vt:lpwstr>2</vt:lpwstr>
  </property>
</Properties>
</file>