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51A3" w:rsidRDefault="003751A3" w:rsidP="003751A3">
      <w:pPr>
        <w:jc w:val="center"/>
      </w:pPr>
      <w:r>
        <w:rPr>
          <w:b/>
          <w:sz w:val="32"/>
        </w:rPr>
        <w:t xml:space="preserve">Lab 2 Report — Automation of scientific research </w:t>
      </w:r>
    </w:p>
    <w:p w:rsidR="003751A3" w:rsidRPr="00D76A24" w:rsidRDefault="00C356AA" w:rsidP="003751A3">
      <w:pPr>
        <w:rPr>
          <w:b/>
          <w:bCs/>
        </w:rPr>
      </w:pPr>
      <w:r>
        <w:rPr>
          <w:b/>
          <w:bCs/>
        </w:rPr>
        <w:t xml:space="preserve"> </w:t>
      </w:r>
      <w:r w:rsidR="003751A3" w:rsidRPr="00D76A24">
        <w:rPr>
          <w:b/>
          <w:bCs/>
        </w:rPr>
        <w:t xml:space="preserve">Name: Bilal </w:t>
      </w:r>
      <w:proofErr w:type="spellStart"/>
      <w:r w:rsidR="003751A3" w:rsidRPr="00D76A24">
        <w:rPr>
          <w:b/>
          <w:bCs/>
        </w:rPr>
        <w:t>Zai</w:t>
      </w:r>
      <w:proofErr w:type="spellEnd"/>
      <w:r w:rsidR="003751A3" w:rsidRPr="00D76A24">
        <w:rPr>
          <w:b/>
          <w:bCs/>
        </w:rPr>
        <w:t xml:space="preserve"> Mohammad Wasim </w:t>
      </w:r>
    </w:p>
    <w:p w:rsidR="003751A3" w:rsidRPr="00D76A24" w:rsidRDefault="003751A3" w:rsidP="003751A3">
      <w:pPr>
        <w:rPr>
          <w:b/>
          <w:bCs/>
        </w:rPr>
      </w:pPr>
      <w:r w:rsidRPr="00D76A24">
        <w:rPr>
          <w:b/>
          <w:bCs/>
        </w:rPr>
        <w:t>Date: 05/01/2026</w:t>
      </w:r>
      <w:bookmarkStart w:id="0" w:name="_GoBack"/>
      <w:bookmarkEnd w:id="0"/>
    </w:p>
    <w:p w:rsidR="003751A3" w:rsidRPr="00D76A24" w:rsidRDefault="003751A3" w:rsidP="003751A3">
      <w:pPr>
        <w:rPr>
          <w:b/>
          <w:bCs/>
        </w:rPr>
      </w:pPr>
      <w:r w:rsidRPr="00D76A24">
        <w:rPr>
          <w:b/>
          <w:bCs/>
        </w:rPr>
        <w:t>1) Chosen Article</w:t>
      </w:r>
    </w:p>
    <w:p w:rsidR="003751A3" w:rsidRPr="003751A3" w:rsidRDefault="003751A3" w:rsidP="003751A3">
      <w:pPr>
        <w:pStyle w:val="Heading1"/>
        <w:rPr>
          <w:rFonts w:asciiTheme="minorHAnsi" w:eastAsiaTheme="minorEastAsia" w:hAnsiTheme="minorHAnsi" w:cstheme="minorBidi"/>
          <w:b w:val="0"/>
          <w:bCs w:val="0"/>
          <w:kern w:val="0"/>
          <w:sz w:val="22"/>
          <w:szCs w:val="22"/>
        </w:rPr>
      </w:pPr>
      <w:r w:rsidRPr="003751A3">
        <w:rPr>
          <w:rFonts w:asciiTheme="minorHAnsi" w:eastAsiaTheme="minorEastAsia" w:hAnsiTheme="minorHAnsi" w:cstheme="minorBidi"/>
          <w:b w:val="0"/>
          <w:bCs w:val="0"/>
          <w:kern w:val="0"/>
          <w:sz w:val="22"/>
          <w:szCs w:val="22"/>
        </w:rPr>
        <w:t>• Title: ОТКРЫТЫЕ ОБРАЗОВАТЕЛЬНЫЕ РЕСУРСЫ И ЦИФРОВАЯ СРЕДА ОБУЧЕНИЯ</w:t>
      </w:r>
    </w:p>
    <w:p w:rsidR="003751A3" w:rsidRPr="00D76A24" w:rsidRDefault="003751A3" w:rsidP="003751A3">
      <w:pPr>
        <w:tabs>
          <w:tab w:val="left" w:pos="5100"/>
        </w:tabs>
        <w:rPr>
          <w:b/>
          <w:bCs/>
        </w:rPr>
      </w:pPr>
      <w:r w:rsidRPr="00D76A24">
        <w:rPr>
          <w:b/>
          <w:bCs/>
        </w:rPr>
        <w:t xml:space="preserve">• Source: </w:t>
      </w:r>
      <w:r>
        <w:rPr>
          <w:b/>
          <w:bCs/>
        </w:rPr>
        <w:t>CYBERLENINKA</w:t>
      </w:r>
    </w:p>
    <w:p w:rsidR="003751A3" w:rsidRDefault="003751A3" w:rsidP="003751A3">
      <w:pPr>
        <w:tabs>
          <w:tab w:val="left" w:pos="5100"/>
        </w:tabs>
      </w:pPr>
      <w:r>
        <w:t xml:space="preserve">Link for the Article </w:t>
      </w:r>
      <w:hyperlink r:id="rId5" w:history="1">
        <w:r w:rsidRPr="008D722D">
          <w:rPr>
            <w:rStyle w:val="Hyperlink"/>
          </w:rPr>
          <w:t>https://cyberleninka.ru/article/n/otkrytye-obrazovatelnye-resursy-i-tsifrovaya-sreda-obucheniya?utm_source=chatgpt.com</w:t>
        </w:r>
      </w:hyperlink>
    </w:p>
    <w:p w:rsidR="007D4D96" w:rsidRDefault="007D4D96" w:rsidP="003751A3">
      <w:pPr>
        <w:tabs>
          <w:tab w:val="left" w:pos="5100"/>
        </w:tabs>
        <w:rPr>
          <w:b/>
          <w:bCs/>
        </w:rPr>
      </w:pPr>
      <w:r>
        <w:rPr>
          <w:b/>
          <w:bCs/>
        </w:rPr>
        <w:t xml:space="preserve">Abstract: </w:t>
      </w:r>
    </w:p>
    <w:p w:rsidR="007D4D96" w:rsidRDefault="007D4D96" w:rsidP="003751A3">
      <w:pPr>
        <w:tabs>
          <w:tab w:val="left" w:pos="5100"/>
        </w:tabs>
        <w:rPr>
          <w:b/>
          <w:bCs/>
        </w:rPr>
      </w:pPr>
      <w:r w:rsidRPr="007D4D96">
        <w:rPr>
          <w:b/>
          <w:bCs/>
        </w:rPr>
        <w:t>В период вынужденного перехода университетов по всему миру в формат онлайн-обучения выросла востребованность цифровых сервисов свободного доступа. Появилась уникальная возможность дополнить и развить теоретические и методологические положения онлайн-обучения на основе анализа эмпирических результатов, характеризующих актуальность и эффективность отдельных элементов цифровой среды. Свободно распространяемые образовательные материалы в Интернете являются элементом цифровой среды, которые объединены в понятие «открытые образовательные ресурсы» (ООР). Цель исследования состоит в оценке актуальности ООР для преподавателей, систематизации основных способов работы с ними, выявлении мотивов и барьеров при разработке ООР. Проведённое среди преподавателей российских вузов исследование показало высокую важность и ценность ООР для их учебно-методической деятельности по созданию и развитию содержания учебного предмета в цифровой среде. Больше половины преподавателей создают и распространяют авторские материалы в Интернете для удобства своих студентов. Преподаватели и студенты свободно обмениваются учебными материалами с использованием разнообразных веб-сервисов. В условиях быстрой смены формата обучения с очного на онлайн, а также возрастающих требований к преподавателям и содержанию обучения ООР становятся ценным ресурсом образовательной деятельности. Анализ нормативно-правового регулирования выявил отсутствие политики в сфере ООР в российских вузах, что является одним из барьеров по созданию ООР. Полученные результаты исследования позволили предложить рекомендации по развитию ООР в сфере высшего образования: закрепить понятие ООР в нормативно-правовой базе образования, обеспечить методическую и правовую поддержку для создания и использования ООР преподавателями, провести информационную кампанию по раскрытию перспектив и преимуществ использования ООР в высшем образовании.</w:t>
      </w:r>
    </w:p>
    <w:p w:rsidR="00C21A90" w:rsidRDefault="00C21A90" w:rsidP="003751A3">
      <w:pPr>
        <w:tabs>
          <w:tab w:val="left" w:pos="5100"/>
        </w:tabs>
        <w:rPr>
          <w:b/>
          <w:bCs/>
        </w:rPr>
      </w:pPr>
    </w:p>
    <w:p w:rsidR="00C21A90" w:rsidRDefault="00C21A90" w:rsidP="003751A3">
      <w:pPr>
        <w:tabs>
          <w:tab w:val="left" w:pos="5100"/>
        </w:tabs>
        <w:rPr>
          <w:b/>
          <w:bCs/>
        </w:rPr>
      </w:pPr>
    </w:p>
    <w:p w:rsidR="003751A3" w:rsidRDefault="003751A3" w:rsidP="003751A3">
      <w:pPr>
        <w:tabs>
          <w:tab w:val="left" w:pos="5100"/>
        </w:tabs>
        <w:rPr>
          <w:b/>
          <w:bCs/>
        </w:rPr>
      </w:pPr>
      <w:r w:rsidRPr="00D76A24">
        <w:rPr>
          <w:b/>
          <w:bCs/>
        </w:rPr>
        <w:lastRenderedPageBreak/>
        <w:t>2) Models used</w:t>
      </w:r>
      <w:r>
        <w:rPr>
          <w:b/>
          <w:bCs/>
        </w:rPr>
        <w:t xml:space="preserve">: </w:t>
      </w:r>
      <w:r w:rsidRPr="006F571D">
        <w:rPr>
          <w:b/>
          <w:bCs/>
        </w:rPr>
        <w:t>Chat GPT (5.2)</w:t>
      </w:r>
      <w:r>
        <w:rPr>
          <w:b/>
          <w:bCs/>
        </w:rPr>
        <w:t>, DeepSeek (3.2)</w:t>
      </w:r>
    </w:p>
    <w:p w:rsidR="007D4D96" w:rsidRDefault="007D4D96" w:rsidP="007D4D96">
      <w:pPr>
        <w:tabs>
          <w:tab w:val="left" w:pos="5100"/>
        </w:tabs>
      </w:pPr>
      <w:r>
        <w:rPr>
          <w:b/>
          <w:bCs/>
        </w:rPr>
        <w:t xml:space="preserve">Prompt 1:   </w:t>
      </w:r>
      <w:r w:rsidRPr="004C6C80">
        <w:rPr>
          <w:b/>
          <w:bCs/>
        </w:rPr>
        <w:t>Translate this text into English</w:t>
      </w:r>
      <w:r w:rsidR="00684BB7" w:rsidRPr="004C6C80">
        <w:rPr>
          <w:b/>
          <w:bCs/>
        </w:rPr>
        <w:t xml:space="preserve"> (Basic)</w:t>
      </w:r>
      <w:r w:rsidR="00684BB7">
        <w:t xml:space="preserve"> </w:t>
      </w:r>
    </w:p>
    <w:tbl>
      <w:tblPr>
        <w:tblStyle w:val="PlainTable4"/>
        <w:tblW w:w="0" w:type="auto"/>
        <w:tblLook w:val="04A0" w:firstRow="1" w:lastRow="0" w:firstColumn="1" w:lastColumn="0" w:noHBand="0" w:noVBand="1"/>
      </w:tblPr>
      <w:tblGrid>
        <w:gridCol w:w="4675"/>
        <w:gridCol w:w="4675"/>
      </w:tblGrid>
      <w:tr w:rsidR="00C21A90" w:rsidTr="00C21A90">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4675" w:type="dxa"/>
            <w:vAlign w:val="center"/>
          </w:tcPr>
          <w:p w:rsidR="00C21A90" w:rsidRPr="004C6C80" w:rsidRDefault="00C21A90" w:rsidP="00C21A90">
            <w:pPr>
              <w:tabs>
                <w:tab w:val="left" w:pos="5100"/>
              </w:tabs>
              <w:jc w:val="center"/>
            </w:pPr>
            <w:r w:rsidRPr="004C6C80">
              <w:t>ChatGPT( 5.2)</w:t>
            </w:r>
          </w:p>
        </w:tc>
        <w:tc>
          <w:tcPr>
            <w:tcW w:w="4675" w:type="dxa"/>
            <w:vAlign w:val="center"/>
          </w:tcPr>
          <w:p w:rsidR="00C21A90" w:rsidRPr="004C6C80" w:rsidRDefault="00C21A90" w:rsidP="00C21A90">
            <w:pPr>
              <w:tabs>
                <w:tab w:val="left" w:pos="5100"/>
              </w:tabs>
              <w:jc w:val="center"/>
              <w:cnfStyle w:val="100000000000" w:firstRow="1" w:lastRow="0" w:firstColumn="0" w:lastColumn="0" w:oddVBand="0" w:evenVBand="0" w:oddHBand="0" w:evenHBand="0" w:firstRowFirstColumn="0" w:firstRowLastColumn="0" w:lastRowFirstColumn="0" w:lastRowLastColumn="0"/>
            </w:pPr>
            <w:r w:rsidRPr="004C6C80">
              <w:t>DeepSeek(3.2)</w:t>
            </w:r>
          </w:p>
        </w:tc>
      </w:tr>
      <w:tr w:rsidR="00C21A90" w:rsidTr="00C21A9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675" w:type="dxa"/>
          </w:tcPr>
          <w:p w:rsidR="00684BB7" w:rsidRPr="00684BB7" w:rsidRDefault="00684BB7" w:rsidP="00684BB7">
            <w:pPr>
              <w:tabs>
                <w:tab w:val="left" w:pos="5100"/>
              </w:tabs>
              <w:rPr>
                <w:rFonts w:ascii="Times New Roman" w:eastAsia="Times New Roman" w:hAnsi="Times New Roman" w:cs="Times New Roman"/>
                <w:b w:val="0"/>
                <w:bCs w:val="0"/>
                <w:sz w:val="24"/>
                <w:szCs w:val="24"/>
              </w:rPr>
            </w:pPr>
            <w:r w:rsidRPr="00684BB7">
              <w:rPr>
                <w:rFonts w:ascii="Times New Roman" w:eastAsia="Times New Roman" w:hAnsi="Times New Roman" w:cs="Times New Roman"/>
                <w:b w:val="0"/>
                <w:bCs w:val="0"/>
                <w:sz w:val="24"/>
                <w:szCs w:val="24"/>
              </w:rPr>
              <w:t>During the period of the forced transition of universities worldwide to online learning, the demand for open-access digital services increased significantly. This situation created a unique opportunity to supplement and develop the theoretical and methodological foundations of online education through the analysis of empirical results that characterize the relevance and effectiveness of individual elements of the digital learning environment. Freely distributed educational materials on the Internet represent an element of the digital environment and are collectively referred to as Open Educational Resources (OER).</w:t>
            </w:r>
          </w:p>
          <w:p w:rsidR="00684BB7" w:rsidRPr="00684BB7" w:rsidRDefault="00684BB7" w:rsidP="00684BB7">
            <w:pPr>
              <w:tabs>
                <w:tab w:val="left" w:pos="5100"/>
              </w:tabs>
              <w:rPr>
                <w:rFonts w:ascii="Times New Roman" w:eastAsia="Times New Roman" w:hAnsi="Times New Roman" w:cs="Times New Roman"/>
                <w:b w:val="0"/>
                <w:bCs w:val="0"/>
                <w:sz w:val="24"/>
                <w:szCs w:val="24"/>
              </w:rPr>
            </w:pPr>
          </w:p>
          <w:p w:rsidR="00684BB7" w:rsidRPr="00684BB7" w:rsidRDefault="00684BB7" w:rsidP="00684BB7">
            <w:pPr>
              <w:tabs>
                <w:tab w:val="left" w:pos="5100"/>
              </w:tabs>
              <w:rPr>
                <w:rFonts w:ascii="Times New Roman" w:eastAsia="Times New Roman" w:hAnsi="Times New Roman" w:cs="Times New Roman"/>
                <w:b w:val="0"/>
                <w:bCs w:val="0"/>
                <w:sz w:val="24"/>
                <w:szCs w:val="24"/>
              </w:rPr>
            </w:pPr>
            <w:r w:rsidRPr="00684BB7">
              <w:rPr>
                <w:rFonts w:ascii="Times New Roman" w:eastAsia="Times New Roman" w:hAnsi="Times New Roman" w:cs="Times New Roman"/>
                <w:b w:val="0"/>
                <w:bCs w:val="0"/>
                <w:sz w:val="24"/>
                <w:szCs w:val="24"/>
              </w:rPr>
              <w:t>The purpose of this study was to assess the relevance of OER for instructors, to systematize the main ways of working with them, and to identify the motivations and barriers associated with the development of OER. A study conducted among instructors at Russian universities demonstrated the high importance and value of OER for their teaching and methodological activities related to the creation and development of course content in a digital environment. More than half of the instructors create and share their own educational materials online for the convenience of their students. Instructors and students freely exchange learning materials using a variety of web-based services.</w:t>
            </w:r>
          </w:p>
          <w:p w:rsidR="00684BB7" w:rsidRPr="00684BB7" w:rsidRDefault="00684BB7" w:rsidP="00684BB7">
            <w:pPr>
              <w:tabs>
                <w:tab w:val="left" w:pos="5100"/>
              </w:tabs>
              <w:rPr>
                <w:rFonts w:ascii="Times New Roman" w:eastAsia="Times New Roman" w:hAnsi="Times New Roman" w:cs="Times New Roman"/>
                <w:b w:val="0"/>
                <w:bCs w:val="0"/>
                <w:sz w:val="24"/>
                <w:szCs w:val="24"/>
              </w:rPr>
            </w:pPr>
          </w:p>
          <w:p w:rsidR="00C21A90" w:rsidRDefault="00684BB7" w:rsidP="00684BB7">
            <w:pPr>
              <w:tabs>
                <w:tab w:val="left" w:pos="5100"/>
              </w:tabs>
              <w:rPr>
                <w:b w:val="0"/>
                <w:bCs w:val="0"/>
              </w:rPr>
            </w:pPr>
            <w:r w:rsidRPr="00684BB7">
              <w:rPr>
                <w:rFonts w:ascii="Times New Roman" w:eastAsia="Times New Roman" w:hAnsi="Times New Roman" w:cs="Times New Roman"/>
                <w:b w:val="0"/>
                <w:bCs w:val="0"/>
                <w:sz w:val="24"/>
                <w:szCs w:val="24"/>
              </w:rPr>
              <w:lastRenderedPageBreak/>
              <w:t>Under conditions of rapid transition from face-to-face to online learning, as well as increasing demands on instructors and educational content, OER have become a valuable resource for educational activities. An analysis of the regulatory and legal framework revealed the absence of an institutional OER policy in Russian universities, which constitutes one of the barriers to OER development. Based on the findings, recommendations were proposed for advancing OER in higher education, including formalizing the concept of OER within educational regulations, providing methodological and legal support for instructors in creating and using OER, and conducting informational campaigns to highlight the prospects and advantages of OER use in higher education.</w:t>
            </w:r>
          </w:p>
        </w:tc>
        <w:tc>
          <w:tcPr>
            <w:tcW w:w="4675" w:type="dxa"/>
          </w:tcPr>
          <w:p w:rsidR="00684BB7" w:rsidRPr="00684BB7" w:rsidRDefault="00684BB7" w:rsidP="00684BB7">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84BB7">
              <w:rPr>
                <w:rFonts w:ascii="Times New Roman" w:eastAsia="Times New Roman" w:hAnsi="Times New Roman" w:cs="Times New Roman"/>
                <w:sz w:val="24"/>
                <w:szCs w:val="24"/>
              </w:rPr>
              <w:lastRenderedPageBreak/>
              <w:t>During the period of the forced transition of universities worldwide to online learning, the demand for freely accessible digital services grew. This presented a unique opportunity to supplement and develop the theoretical and methodological foundations of online education based on an analysis of empirical results that highlight the relevance and effectiveness of specific elements of the digital environment. Freely distributed educational materials on the Internet are an element of the digital environment, unified under the concept of "Open Educational Resources" (OER). The aim of this study is to assess the relevance of OER for educators, systematize the main methods of working with them, and identify the motivations and barriers in developing OER.</w:t>
            </w:r>
          </w:p>
          <w:p w:rsidR="00684BB7" w:rsidRPr="00684BB7" w:rsidRDefault="00684BB7" w:rsidP="00684BB7">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84BB7">
              <w:rPr>
                <w:rFonts w:ascii="Times New Roman" w:eastAsia="Times New Roman" w:hAnsi="Times New Roman" w:cs="Times New Roman"/>
                <w:sz w:val="24"/>
                <w:szCs w:val="24"/>
              </w:rPr>
              <w:t>Research conducted among teachers at Russian universities showed the high importance and value of OER for their teaching and methodological activities in creating and developing subject content in the digital environment. More than half of the educators create and distribute their own materials online for the convenience of their students. Teachers and students freely exchange educational materials using various web services. In the context of the rapid shift from in-person to online learning formats and increasing demands on educators and educational content, OER are becoming a valuable resource for educational activities.</w:t>
            </w:r>
          </w:p>
          <w:p w:rsidR="00C21A90" w:rsidRDefault="00684BB7" w:rsidP="00684BB7">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b/>
                <w:bCs/>
              </w:rPr>
            </w:pPr>
            <w:r w:rsidRPr="00684BB7">
              <w:rPr>
                <w:rFonts w:ascii="Times New Roman" w:eastAsia="Times New Roman" w:hAnsi="Times New Roman" w:cs="Times New Roman"/>
                <w:sz w:val="24"/>
                <w:szCs w:val="24"/>
              </w:rPr>
              <w:t xml:space="preserve">An analysis of regulatory frameworks revealed a lack of policy in the field of OER at Russian universities, which is one of the barriers to OER creation. The results of the study led to recommendations for the development of OER in higher education: </w:t>
            </w:r>
            <w:r w:rsidRPr="00684BB7">
              <w:rPr>
                <w:rFonts w:ascii="Times New Roman" w:eastAsia="Times New Roman" w:hAnsi="Times New Roman" w:cs="Times New Roman"/>
                <w:sz w:val="24"/>
                <w:szCs w:val="24"/>
              </w:rPr>
              <w:lastRenderedPageBreak/>
              <w:t>enshrine the concept of OER in educational regulations, provide methodological and legal support for the creation and use of OER by teachers, and conduct an awareness campaign to highlight the prospects and advantages of using OER in higher education.</w:t>
            </w:r>
            <w:r>
              <w:rPr>
                <w:b/>
                <w:bCs/>
              </w:rPr>
              <w:t xml:space="preserve"> </w:t>
            </w:r>
          </w:p>
        </w:tc>
      </w:tr>
    </w:tbl>
    <w:p w:rsidR="00C21A90" w:rsidRDefault="00C21A90" w:rsidP="007D4D96">
      <w:pPr>
        <w:tabs>
          <w:tab w:val="left" w:pos="5100"/>
        </w:tabs>
        <w:rPr>
          <w:b/>
          <w:bCs/>
        </w:rPr>
      </w:pPr>
    </w:p>
    <w:p w:rsidR="00684BB7" w:rsidRDefault="00684BB7" w:rsidP="007D4D96">
      <w:pPr>
        <w:tabs>
          <w:tab w:val="left" w:pos="5100"/>
        </w:tabs>
        <w:rPr>
          <w:b/>
          <w:bCs/>
        </w:rPr>
      </w:pPr>
      <w:r>
        <w:rPr>
          <w:b/>
          <w:bCs/>
        </w:rPr>
        <w:t>Prompt 2</w:t>
      </w:r>
      <w:r w:rsidR="004C6C80">
        <w:rPr>
          <w:b/>
          <w:bCs/>
        </w:rPr>
        <w:t>: Translate</w:t>
      </w:r>
      <w:r>
        <w:rPr>
          <w:b/>
          <w:bCs/>
        </w:rPr>
        <w:t xml:space="preserve"> the following text from Russian into English</w:t>
      </w:r>
      <w:r w:rsidR="004C6C80">
        <w:rPr>
          <w:b/>
          <w:bCs/>
        </w:rPr>
        <w:t xml:space="preserve">. Ensure correct Grammar and natural native like wording. Keep an academic tone (Quality) </w:t>
      </w:r>
    </w:p>
    <w:tbl>
      <w:tblPr>
        <w:tblStyle w:val="PlainTable4"/>
        <w:tblW w:w="0" w:type="auto"/>
        <w:tblLook w:val="04A0" w:firstRow="1" w:lastRow="0" w:firstColumn="1" w:lastColumn="0" w:noHBand="0" w:noVBand="1"/>
      </w:tblPr>
      <w:tblGrid>
        <w:gridCol w:w="4675"/>
        <w:gridCol w:w="4675"/>
      </w:tblGrid>
      <w:tr w:rsidR="004C6C80" w:rsidTr="00443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4C6C80" w:rsidRPr="004C6C80" w:rsidRDefault="004C6C80" w:rsidP="004C6C80">
            <w:pPr>
              <w:tabs>
                <w:tab w:val="left" w:pos="5100"/>
              </w:tabs>
              <w:jc w:val="center"/>
              <w:rPr>
                <w:b w:val="0"/>
                <w:bCs w:val="0"/>
              </w:rPr>
            </w:pPr>
            <w:r w:rsidRPr="004C6C80">
              <w:rPr>
                <w:b w:val="0"/>
                <w:bCs w:val="0"/>
              </w:rPr>
              <w:t>ChatGPT( 5.2)</w:t>
            </w:r>
          </w:p>
        </w:tc>
        <w:tc>
          <w:tcPr>
            <w:tcW w:w="4675" w:type="dxa"/>
          </w:tcPr>
          <w:p w:rsidR="004C6C80" w:rsidRPr="004C6C80" w:rsidRDefault="004C6C80" w:rsidP="004C6C80">
            <w:pPr>
              <w:tabs>
                <w:tab w:val="left" w:pos="5100"/>
              </w:tabs>
              <w:jc w:val="center"/>
              <w:cnfStyle w:val="100000000000" w:firstRow="1" w:lastRow="0" w:firstColumn="0" w:lastColumn="0" w:oddVBand="0" w:evenVBand="0" w:oddHBand="0" w:evenHBand="0" w:firstRowFirstColumn="0" w:firstRowLastColumn="0" w:lastRowFirstColumn="0" w:lastRowLastColumn="0"/>
              <w:rPr>
                <w:b w:val="0"/>
                <w:bCs w:val="0"/>
              </w:rPr>
            </w:pPr>
            <w:r w:rsidRPr="004C6C80">
              <w:rPr>
                <w:b w:val="0"/>
                <w:bCs w:val="0"/>
              </w:rPr>
              <w:t>DeepSeek(3.2)</w:t>
            </w:r>
          </w:p>
        </w:tc>
      </w:tr>
      <w:tr w:rsidR="004C6C80" w:rsidTr="00443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4C6C80" w:rsidRPr="004C6C80" w:rsidRDefault="004C6C80" w:rsidP="004C6C80">
            <w:pPr>
              <w:tabs>
                <w:tab w:val="left" w:pos="5100"/>
              </w:tabs>
            </w:pPr>
            <w:r w:rsidRPr="004C6C80">
              <w:t>During the period of the forced transition of universities worldwide to online learning, the demand for open-access digital services increased significantly. This situation created a unique opportunity to expand and further develop the theoretical and methodological foundations of online education through the analysis of empirical results that reflect the relevance and effectiveness of individual components of the digital learning environment. Freely distributed educational materials available on the Internet constitute an element of the digital environment and are collectively referred to as Open Educational Resources (OER).</w:t>
            </w:r>
          </w:p>
          <w:p w:rsidR="004C6C80" w:rsidRPr="004C6C80" w:rsidRDefault="004C6C80" w:rsidP="004C6C80">
            <w:pPr>
              <w:tabs>
                <w:tab w:val="left" w:pos="5100"/>
              </w:tabs>
            </w:pPr>
          </w:p>
          <w:p w:rsidR="004C6C80" w:rsidRPr="004C6C80" w:rsidRDefault="004C6C80" w:rsidP="004C6C80">
            <w:pPr>
              <w:tabs>
                <w:tab w:val="left" w:pos="5100"/>
              </w:tabs>
            </w:pPr>
            <w:r w:rsidRPr="004C6C80">
              <w:t>The purpose of this study was to assess the relevance of OER for instructors, systematize the main approaches to working with them, and identify the motivations and barriers associated with the development of OER. A study conducted among instructors at Russian universities demonstrated the high importance and value of OER for their teaching and methodological activities related to the creation and development of course content in a digital environment. More than half of the instructors create and share their own educational materials online for the convenience of their students. Instructors and students actively exchange learning materials using a variety of web-based services.</w:t>
            </w:r>
          </w:p>
          <w:p w:rsidR="004C6C80" w:rsidRDefault="004C6C80" w:rsidP="004C6C80">
            <w:pPr>
              <w:tabs>
                <w:tab w:val="left" w:pos="5100"/>
              </w:tabs>
              <w:rPr>
                <w:b w:val="0"/>
                <w:bCs w:val="0"/>
              </w:rPr>
            </w:pPr>
            <w:r w:rsidRPr="004C6C80">
              <w:t>Under conditions of a rapid shift from face-to-face to online instruction, as well as increasing demands on instructors and educational content, OER have become a valuable resource</w:t>
            </w:r>
          </w:p>
        </w:tc>
        <w:tc>
          <w:tcPr>
            <w:tcW w:w="4675" w:type="dxa"/>
          </w:tcPr>
          <w:p w:rsidR="004C6C80" w:rsidRPr="004C6C80" w:rsidRDefault="004C6C80" w:rsidP="004C6C80">
            <w:pPr>
              <w:pStyle w:val="ds-markdown-paragrap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sz w:val="22"/>
                <w:szCs w:val="22"/>
              </w:rPr>
            </w:pPr>
            <w:r w:rsidRPr="004C6C80">
              <w:rPr>
                <w:rFonts w:asciiTheme="minorHAnsi" w:eastAsiaTheme="minorEastAsia" w:hAnsiTheme="minorHAnsi" w:cstheme="minorBidi"/>
                <w:b/>
                <w:bCs/>
                <w:sz w:val="22"/>
                <w:szCs w:val="22"/>
              </w:rPr>
              <w:lastRenderedPageBreak/>
              <w:t xml:space="preserve">During the global forced transition of universities to online learning, the demand for freely accessible digital services increased significantly. This shift presented a unique opportunity to enhance and develop the theoretical and methodological foundations of online education through an analysis of empirical results that demonstrate the relevance and effectiveness of specific elements within the digital learning environment. Freely accessible educational materials available online constitute a key element of this environment, collectively known as Open Educational Resources (OER). This study aims to assess the relevance of OER for educators, systematize primary methods of utilizing them, and identify </w:t>
            </w:r>
            <w:r w:rsidRPr="004C6C80">
              <w:rPr>
                <w:rFonts w:asciiTheme="minorHAnsi" w:eastAsiaTheme="minorEastAsia" w:hAnsiTheme="minorHAnsi" w:cstheme="minorBidi"/>
                <w:b/>
                <w:bCs/>
                <w:sz w:val="22"/>
                <w:szCs w:val="22"/>
              </w:rPr>
              <w:lastRenderedPageBreak/>
              <w:t>both motivations and barriers in OER development.</w:t>
            </w:r>
          </w:p>
          <w:p w:rsidR="004C6C80" w:rsidRPr="004C6C80" w:rsidRDefault="004C6C80" w:rsidP="004C6C80">
            <w:pPr>
              <w:pStyle w:val="ds-markdown-paragrap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sz w:val="22"/>
                <w:szCs w:val="22"/>
              </w:rPr>
            </w:pPr>
            <w:r w:rsidRPr="004C6C80">
              <w:rPr>
                <w:rFonts w:asciiTheme="minorHAnsi" w:eastAsiaTheme="minorEastAsia" w:hAnsiTheme="minorHAnsi" w:cstheme="minorBidi"/>
                <w:b/>
                <w:bCs/>
                <w:sz w:val="22"/>
                <w:szCs w:val="22"/>
              </w:rPr>
              <w:t>Research conducted among faculty at Russian universities revealed the high importance and value of OER for their instructional and methodological work in creating and developing digital course content. More than half of the instructors create and disseminate their own materials online for the convenience of their students. Educators and students freely exchange learning materials using a variety of web services. Amid the rapid shift from in-person to online formats and growing demands on both instructors and educational content, OER are becoming a valuable resource for teaching and learning.</w:t>
            </w:r>
          </w:p>
          <w:p w:rsidR="004C6C80" w:rsidRPr="004C6C80" w:rsidRDefault="004C6C80" w:rsidP="004C6C80">
            <w:pPr>
              <w:pStyle w:val="ds-markdown-paragrap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sz w:val="22"/>
                <w:szCs w:val="22"/>
              </w:rPr>
            </w:pPr>
            <w:r w:rsidRPr="004C6C80">
              <w:rPr>
                <w:rFonts w:asciiTheme="minorHAnsi" w:eastAsiaTheme="minorEastAsia" w:hAnsiTheme="minorHAnsi" w:cstheme="minorBidi"/>
                <w:b/>
                <w:bCs/>
                <w:sz w:val="22"/>
                <w:szCs w:val="22"/>
              </w:rPr>
              <w:t>An analysis of the regulatory framework highlighted the absence of a coherent OER policy within Russian higher education institutions, which serves as a significant barrier to OER creation. Based on the study’s findings, recommendations are proposed to advance OER in higher education: formally integrate the concept of OER into educational legislation and policy; provide methodological and legal support for faculty in creating and using OER; and launch an awareness campaign to highlight the potential and benefits of OER in higher education</w:t>
            </w:r>
          </w:p>
          <w:p w:rsidR="004C6C80" w:rsidRDefault="004C6C80" w:rsidP="007D4D96">
            <w:pPr>
              <w:tabs>
                <w:tab w:val="left" w:pos="5100"/>
              </w:tabs>
              <w:cnfStyle w:val="000000100000" w:firstRow="0" w:lastRow="0" w:firstColumn="0" w:lastColumn="0" w:oddVBand="0" w:evenVBand="0" w:oddHBand="1" w:evenHBand="0" w:firstRowFirstColumn="0" w:firstRowLastColumn="0" w:lastRowFirstColumn="0" w:lastRowLastColumn="0"/>
              <w:rPr>
                <w:b/>
                <w:bCs/>
              </w:rPr>
            </w:pPr>
          </w:p>
        </w:tc>
      </w:tr>
    </w:tbl>
    <w:p w:rsidR="004C6C80" w:rsidRPr="007D4D96" w:rsidRDefault="004C6C80" w:rsidP="007D4D96">
      <w:pPr>
        <w:tabs>
          <w:tab w:val="left" w:pos="5100"/>
        </w:tabs>
        <w:rPr>
          <w:b/>
          <w:bCs/>
        </w:rPr>
      </w:pPr>
    </w:p>
    <w:p w:rsidR="007D4D96" w:rsidRDefault="00EA6A53" w:rsidP="003751A3">
      <w:pPr>
        <w:tabs>
          <w:tab w:val="left" w:pos="5100"/>
        </w:tabs>
        <w:rPr>
          <w:b/>
          <w:bCs/>
        </w:rPr>
      </w:pPr>
      <w:r>
        <w:rPr>
          <w:b/>
          <w:bCs/>
        </w:rPr>
        <w:t>Prompt 3</w:t>
      </w:r>
      <w:r>
        <w:rPr>
          <w:b/>
          <w:bCs/>
        </w:rPr>
        <w:t>:</w:t>
      </w:r>
      <w:r>
        <w:rPr>
          <w:b/>
          <w:bCs/>
        </w:rPr>
        <w:t xml:space="preserve"> (context + academic)  </w:t>
      </w:r>
    </w:p>
    <w:p w:rsidR="00EA6A53" w:rsidRDefault="00EA6A53" w:rsidP="003751A3">
      <w:pPr>
        <w:tabs>
          <w:tab w:val="left" w:pos="5100"/>
        </w:tabs>
        <w:rPr>
          <w:b/>
          <w:bCs/>
        </w:rPr>
      </w:pPr>
      <w:r>
        <w:rPr>
          <w:b/>
          <w:bCs/>
        </w:rPr>
        <w:t>Context: higher education, digital learning environment, open educational resources (O</w:t>
      </w:r>
      <w:r w:rsidR="001541A8">
        <w:rPr>
          <w:b/>
          <w:bCs/>
        </w:rPr>
        <w:t>ER)</w:t>
      </w:r>
    </w:p>
    <w:p w:rsidR="001541A8" w:rsidRDefault="001541A8" w:rsidP="003751A3">
      <w:pPr>
        <w:tabs>
          <w:tab w:val="left" w:pos="5100"/>
        </w:tabs>
        <w:rPr>
          <w:b/>
          <w:bCs/>
        </w:rPr>
      </w:pPr>
      <w:r>
        <w:rPr>
          <w:b/>
          <w:bCs/>
        </w:rPr>
        <w:t xml:space="preserve">Style: academic/scientific </w:t>
      </w:r>
    </w:p>
    <w:p w:rsidR="001541A8" w:rsidRDefault="001541A8" w:rsidP="003751A3">
      <w:pPr>
        <w:tabs>
          <w:tab w:val="left" w:pos="5100"/>
        </w:tabs>
        <w:rPr>
          <w:b/>
          <w:bCs/>
        </w:rPr>
      </w:pPr>
      <w:r>
        <w:rPr>
          <w:b/>
          <w:bCs/>
        </w:rPr>
        <w:t xml:space="preserve">Translate the text into English as a journal abstract. Keep the structure: background -&gt;aim-&gt;method/data-&gt;results-&gt;recommendations </w:t>
      </w:r>
    </w:p>
    <w:p w:rsidR="0033036D" w:rsidRDefault="0033036D" w:rsidP="003751A3">
      <w:pPr>
        <w:tabs>
          <w:tab w:val="left" w:pos="5100"/>
        </w:tabs>
        <w:rPr>
          <w:b/>
          <w:bCs/>
        </w:rPr>
      </w:pPr>
    </w:p>
    <w:tbl>
      <w:tblPr>
        <w:tblStyle w:val="PlainTable4"/>
        <w:tblW w:w="0" w:type="auto"/>
        <w:tblLook w:val="04A0" w:firstRow="1" w:lastRow="0" w:firstColumn="1" w:lastColumn="0" w:noHBand="0" w:noVBand="1"/>
      </w:tblPr>
      <w:tblGrid>
        <w:gridCol w:w="4675"/>
        <w:gridCol w:w="4675"/>
      </w:tblGrid>
      <w:tr w:rsidR="0033036D" w:rsidTr="00443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3036D" w:rsidRPr="004C6C80" w:rsidRDefault="0033036D" w:rsidP="0033036D">
            <w:pPr>
              <w:tabs>
                <w:tab w:val="left" w:pos="5100"/>
              </w:tabs>
              <w:jc w:val="center"/>
              <w:rPr>
                <w:b w:val="0"/>
                <w:bCs w:val="0"/>
              </w:rPr>
            </w:pPr>
            <w:r w:rsidRPr="004C6C80">
              <w:rPr>
                <w:b w:val="0"/>
                <w:bCs w:val="0"/>
              </w:rPr>
              <w:lastRenderedPageBreak/>
              <w:t>ChatGPT( 5.2)</w:t>
            </w:r>
          </w:p>
        </w:tc>
        <w:tc>
          <w:tcPr>
            <w:tcW w:w="4675" w:type="dxa"/>
          </w:tcPr>
          <w:p w:rsidR="0033036D" w:rsidRPr="004C6C80" w:rsidRDefault="0033036D" w:rsidP="0033036D">
            <w:pPr>
              <w:tabs>
                <w:tab w:val="left" w:pos="5100"/>
              </w:tabs>
              <w:jc w:val="center"/>
              <w:cnfStyle w:val="100000000000" w:firstRow="1" w:lastRow="0" w:firstColumn="0" w:lastColumn="0" w:oddVBand="0" w:evenVBand="0" w:oddHBand="0" w:evenHBand="0" w:firstRowFirstColumn="0" w:firstRowLastColumn="0" w:lastRowFirstColumn="0" w:lastRowLastColumn="0"/>
              <w:rPr>
                <w:b w:val="0"/>
                <w:bCs w:val="0"/>
              </w:rPr>
            </w:pPr>
            <w:r w:rsidRPr="004C6C80">
              <w:rPr>
                <w:b w:val="0"/>
                <w:bCs w:val="0"/>
              </w:rPr>
              <w:t>DeepSeek(3.2)</w:t>
            </w:r>
          </w:p>
        </w:tc>
      </w:tr>
      <w:tr w:rsidR="0033036D" w:rsidTr="00443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B1887" w:rsidRPr="00FB1887" w:rsidRDefault="00FB1887" w:rsidP="00FB1887">
            <w:pPr>
              <w:tabs>
                <w:tab w:val="left" w:pos="5100"/>
              </w:tabs>
            </w:pPr>
            <w:r w:rsidRPr="00FB1887">
              <w:rPr>
                <w:b w:val="0"/>
                <w:bCs w:val="0"/>
              </w:rPr>
              <w:t>Background:</w:t>
            </w:r>
            <w:r w:rsidRPr="00FB1887">
              <w:t xml:space="preserve"> The</w:t>
            </w:r>
            <w:r w:rsidRPr="00FB1887">
              <w:t xml:space="preserve"> forced transition of universities worldwide to online learning significantly increased the demand for open-access digital services. This shift created an opportunity to expand and refine the theoretical and methodological foundations of online education through the analysis of empirical evidence on the relevance and effectiveness of components of the digital learning environment. Freely accessible educational materials distributed online constitute an integral part of this environment and are collectively referred to as Open Educational Resources (OER).</w:t>
            </w:r>
          </w:p>
          <w:p w:rsidR="00FB1887" w:rsidRPr="00FB1887" w:rsidRDefault="00FB1887" w:rsidP="00FB1887">
            <w:pPr>
              <w:tabs>
                <w:tab w:val="left" w:pos="5100"/>
              </w:tabs>
            </w:pPr>
            <w:r w:rsidRPr="00FB1887">
              <w:rPr>
                <w:b w:val="0"/>
                <w:bCs w:val="0"/>
              </w:rPr>
              <w:t>Aim:</w:t>
            </w:r>
            <w:r w:rsidRPr="00FB1887">
              <w:t xml:space="preserve"> The</w:t>
            </w:r>
            <w:r w:rsidRPr="00FB1887">
              <w:t xml:space="preserve"> aim of this study was to assess the relevance of OER for university instructors, systematize key practices for working with OER, and identify the motivations and barriers associated with their development.</w:t>
            </w:r>
          </w:p>
          <w:p w:rsidR="00FB1887" w:rsidRPr="00FB1887" w:rsidRDefault="00FB1887" w:rsidP="00FB1887">
            <w:pPr>
              <w:tabs>
                <w:tab w:val="left" w:pos="5100"/>
              </w:tabs>
            </w:pPr>
            <w:r w:rsidRPr="00FB1887">
              <w:rPr>
                <w:b w:val="0"/>
                <w:bCs w:val="0"/>
              </w:rPr>
              <w:t>Method/Data:</w:t>
            </w:r>
            <w:r>
              <w:rPr>
                <w:b w:val="0"/>
                <w:bCs w:val="0"/>
              </w:rPr>
              <w:t xml:space="preserve"> </w:t>
            </w:r>
            <w:r w:rsidRPr="00FB1887">
              <w:t>The study was based on empirical data collected from instructors at Russian higher education institutions, focusing on their use, creation, and dissemination of educational materials in digital learning environments. In addition, regulatory and legal frameworks governing OER were analyzed.</w:t>
            </w:r>
          </w:p>
          <w:p w:rsidR="00FB1887" w:rsidRPr="00FB1887" w:rsidRDefault="00FB1887" w:rsidP="00FB1887">
            <w:pPr>
              <w:tabs>
                <w:tab w:val="left" w:pos="5100"/>
              </w:tabs>
            </w:pPr>
            <w:r w:rsidRPr="00FB1887">
              <w:rPr>
                <w:b w:val="0"/>
                <w:bCs w:val="0"/>
              </w:rPr>
              <w:t>Results:</w:t>
            </w:r>
            <w:r>
              <w:rPr>
                <w:b w:val="0"/>
                <w:bCs w:val="0"/>
              </w:rPr>
              <w:t xml:space="preserve"> </w:t>
            </w:r>
            <w:r w:rsidRPr="00FB1887">
              <w:t xml:space="preserve">The findings demonstrated a high level of importance and value attributed to OER by instructors for their teaching and methodological activities. More than half of the respondents reported creating and sharing original educational materials online, while both instructors and students actively exchanged learning resources using various web-based services. OER were identified as a valuable resource under conditions of rapid transition to online learning and increasing instructional demands. However, the absence of institutional </w:t>
            </w:r>
            <w:r w:rsidRPr="00FB1887">
              <w:lastRenderedPageBreak/>
              <w:t>OER policies in Russian universities was identified as a significant barrier.</w:t>
            </w:r>
          </w:p>
          <w:p w:rsidR="0033036D" w:rsidRDefault="00FB1887" w:rsidP="00FB1887">
            <w:pPr>
              <w:tabs>
                <w:tab w:val="left" w:pos="5100"/>
              </w:tabs>
              <w:rPr>
                <w:b w:val="0"/>
                <w:bCs w:val="0"/>
              </w:rPr>
            </w:pPr>
            <w:r w:rsidRPr="00FB1887">
              <w:rPr>
                <w:b w:val="0"/>
                <w:bCs w:val="0"/>
              </w:rPr>
              <w:t>Recommendations:</w:t>
            </w:r>
            <w:r>
              <w:rPr>
                <w:b w:val="0"/>
                <w:bCs w:val="0"/>
              </w:rPr>
              <w:t xml:space="preserve"> </w:t>
            </w:r>
            <w:r w:rsidRPr="00FB1887">
              <w:t>The study recommends formalizing the concept of OER within educational regulations, providing methodological and legal support for instructors, and conducting informational initiatives to promote the benefits and prospects of OER in higher education.</w:t>
            </w:r>
          </w:p>
        </w:tc>
        <w:tc>
          <w:tcPr>
            <w:tcW w:w="4675" w:type="dxa"/>
          </w:tcPr>
          <w:p w:rsidR="0033036D" w:rsidRPr="0033036D" w:rsidRDefault="0033036D" w:rsidP="0033036D">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036D">
              <w:rPr>
                <w:rFonts w:ascii="Times New Roman" w:eastAsia="Times New Roman" w:hAnsi="Times New Roman" w:cs="Times New Roman"/>
                <w:b/>
                <w:bCs/>
                <w:sz w:val="24"/>
                <w:szCs w:val="24"/>
              </w:rPr>
              <w:lastRenderedPageBreak/>
              <w:t>Background:</w:t>
            </w:r>
            <w:r w:rsidRPr="0033036D">
              <w:rPr>
                <w:rFonts w:ascii="Times New Roman" w:eastAsia="Times New Roman" w:hAnsi="Times New Roman" w:cs="Times New Roman"/>
                <w:sz w:val="24"/>
                <w:szCs w:val="24"/>
              </w:rPr>
              <w:t xml:space="preserve"> The global shift to online learning during recent disruptions significantly increased demand for freely accessible digital services. This presents an opportunity to refine the theoretical and methodological foundations of online pedagogy by examining the relevance and efficacy of specific digital elements, such as Open Educational Resources (OER).</w:t>
            </w:r>
          </w:p>
          <w:p w:rsidR="0033036D" w:rsidRPr="0033036D" w:rsidRDefault="0033036D" w:rsidP="0033036D">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036D">
              <w:rPr>
                <w:rFonts w:ascii="Times New Roman" w:eastAsia="Times New Roman" w:hAnsi="Times New Roman" w:cs="Times New Roman"/>
                <w:b/>
                <w:bCs/>
                <w:sz w:val="24"/>
                <w:szCs w:val="24"/>
              </w:rPr>
              <w:t>Aim:</w:t>
            </w:r>
            <w:r w:rsidRPr="0033036D">
              <w:rPr>
                <w:rFonts w:ascii="Times New Roman" w:eastAsia="Times New Roman" w:hAnsi="Times New Roman" w:cs="Times New Roman"/>
                <w:sz w:val="24"/>
                <w:szCs w:val="24"/>
              </w:rPr>
              <w:t xml:space="preserve"> This study aims to evaluate the perceived relevance of OER for university instructors, systematize their primary methods of working with these resources, and identify the key motivations and barriers to OER development.</w:t>
            </w:r>
          </w:p>
          <w:p w:rsidR="0033036D" w:rsidRPr="0033036D" w:rsidRDefault="0033036D" w:rsidP="0033036D">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036D">
              <w:rPr>
                <w:rFonts w:ascii="Times New Roman" w:eastAsia="Times New Roman" w:hAnsi="Times New Roman" w:cs="Times New Roman"/>
                <w:b/>
                <w:bCs/>
                <w:sz w:val="24"/>
                <w:szCs w:val="24"/>
              </w:rPr>
              <w:t>Method/Data:</w:t>
            </w:r>
            <w:r w:rsidRPr="0033036D">
              <w:rPr>
                <w:rFonts w:ascii="Times New Roman" w:eastAsia="Times New Roman" w:hAnsi="Times New Roman" w:cs="Times New Roman"/>
                <w:sz w:val="24"/>
                <w:szCs w:val="24"/>
              </w:rPr>
              <w:t xml:space="preserve"> An empirical study was conducted among teaching staff at Russian universities to gather data on their engagement with OER.</w:t>
            </w:r>
          </w:p>
          <w:p w:rsidR="0033036D" w:rsidRPr="0033036D" w:rsidRDefault="0033036D" w:rsidP="0033036D">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036D">
              <w:rPr>
                <w:rFonts w:ascii="Times New Roman" w:eastAsia="Times New Roman" w:hAnsi="Times New Roman" w:cs="Times New Roman"/>
                <w:b/>
                <w:bCs/>
                <w:sz w:val="24"/>
                <w:szCs w:val="24"/>
              </w:rPr>
              <w:t>Results:</w:t>
            </w:r>
            <w:r w:rsidRPr="0033036D">
              <w:rPr>
                <w:rFonts w:ascii="Times New Roman" w:eastAsia="Times New Roman" w:hAnsi="Times New Roman" w:cs="Times New Roman"/>
                <w:sz w:val="24"/>
                <w:szCs w:val="24"/>
              </w:rPr>
              <w:t xml:space="preserve"> The findings indicate that instructors assign high importance and value to OER for developing digital course content. Over half create and share their own materials online to support students, and both faculty and students actively exchange materials via various web services. While OER are recognized as a vital asset amidst the transition to digital learning, an analysis of the regulatory framework revealed a lack of formal institutional OER policies, which acts as a primary barrier to their creation.</w:t>
            </w:r>
          </w:p>
          <w:p w:rsidR="0033036D" w:rsidRDefault="0033036D" w:rsidP="0033036D">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b/>
                <w:bCs/>
              </w:rPr>
            </w:pPr>
            <w:r w:rsidRPr="0033036D">
              <w:rPr>
                <w:rFonts w:ascii="Times New Roman" w:eastAsia="Times New Roman" w:hAnsi="Times New Roman" w:cs="Times New Roman"/>
                <w:b/>
                <w:bCs/>
                <w:sz w:val="24"/>
                <w:szCs w:val="24"/>
              </w:rPr>
              <w:t>Recommendations:</w:t>
            </w:r>
            <w:r w:rsidRPr="0033036D">
              <w:rPr>
                <w:rFonts w:ascii="Times New Roman" w:eastAsia="Times New Roman" w:hAnsi="Times New Roman" w:cs="Times New Roman"/>
                <w:sz w:val="24"/>
                <w:szCs w:val="24"/>
              </w:rPr>
              <w:t xml:space="preserve"> To foster OER development in higher education, we recommend formally integrating the OER concept into educational policy, providing instructors with methodological and legal support for OER creation and use, and launching informational campaigns to highlight the benefits of OER adoption.</w:t>
            </w:r>
            <w:r>
              <w:rPr>
                <w:b/>
                <w:bCs/>
              </w:rPr>
              <w:t xml:space="preserve"> </w:t>
            </w:r>
          </w:p>
        </w:tc>
      </w:tr>
    </w:tbl>
    <w:p w:rsidR="0033036D" w:rsidRDefault="0033036D" w:rsidP="003751A3">
      <w:pPr>
        <w:tabs>
          <w:tab w:val="left" w:pos="5100"/>
        </w:tabs>
        <w:rPr>
          <w:b/>
          <w:bCs/>
        </w:rPr>
      </w:pPr>
    </w:p>
    <w:p w:rsidR="001541A8" w:rsidRDefault="00443C77" w:rsidP="003751A3">
      <w:pPr>
        <w:tabs>
          <w:tab w:val="left" w:pos="5100"/>
        </w:tabs>
        <w:rPr>
          <w:b/>
          <w:bCs/>
        </w:rPr>
      </w:pPr>
      <w:r>
        <w:rPr>
          <w:b/>
          <w:bCs/>
        </w:rPr>
        <w:t xml:space="preserve">Prompt 4: analyze then translate </w:t>
      </w:r>
    </w:p>
    <w:p w:rsidR="00443C77" w:rsidRDefault="00145A70" w:rsidP="003751A3">
      <w:pPr>
        <w:tabs>
          <w:tab w:val="left" w:pos="5100"/>
        </w:tabs>
        <w:rPr>
          <w:b/>
          <w:bCs/>
        </w:rPr>
      </w:pPr>
      <w:r>
        <w:rPr>
          <w:b/>
          <w:bCs/>
        </w:rPr>
        <w:t>Frist briefly identify: topic, aim, who/what was studied, key results, recommendations (2-4) bullet points). Then translate the text into academic English text.</w:t>
      </w:r>
    </w:p>
    <w:tbl>
      <w:tblPr>
        <w:tblStyle w:val="PlainTable4"/>
        <w:tblW w:w="0" w:type="auto"/>
        <w:tblLook w:val="04A0" w:firstRow="1" w:lastRow="0" w:firstColumn="1" w:lastColumn="0" w:noHBand="0" w:noVBand="1"/>
      </w:tblPr>
      <w:tblGrid>
        <w:gridCol w:w="4675"/>
        <w:gridCol w:w="4675"/>
      </w:tblGrid>
      <w:tr w:rsidR="00145A70" w:rsidTr="00B92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145A70" w:rsidRPr="004C6C80" w:rsidRDefault="00145A70" w:rsidP="00B92E21">
            <w:pPr>
              <w:tabs>
                <w:tab w:val="left" w:pos="5100"/>
              </w:tabs>
              <w:jc w:val="center"/>
              <w:rPr>
                <w:b w:val="0"/>
                <w:bCs w:val="0"/>
              </w:rPr>
            </w:pPr>
            <w:r w:rsidRPr="004C6C80">
              <w:rPr>
                <w:b w:val="0"/>
                <w:bCs w:val="0"/>
              </w:rPr>
              <w:t>ChatGPT( 5.2)</w:t>
            </w:r>
          </w:p>
        </w:tc>
        <w:tc>
          <w:tcPr>
            <w:tcW w:w="4675" w:type="dxa"/>
          </w:tcPr>
          <w:p w:rsidR="00145A70" w:rsidRPr="004C6C80" w:rsidRDefault="00145A70" w:rsidP="00B92E21">
            <w:pPr>
              <w:tabs>
                <w:tab w:val="left" w:pos="5100"/>
              </w:tabs>
              <w:jc w:val="center"/>
              <w:cnfStyle w:val="100000000000" w:firstRow="1" w:lastRow="0" w:firstColumn="0" w:lastColumn="0" w:oddVBand="0" w:evenVBand="0" w:oddHBand="0" w:evenHBand="0" w:firstRowFirstColumn="0" w:firstRowLastColumn="0" w:lastRowFirstColumn="0" w:lastRowLastColumn="0"/>
              <w:rPr>
                <w:b w:val="0"/>
                <w:bCs w:val="0"/>
              </w:rPr>
            </w:pPr>
            <w:r w:rsidRPr="004C6C80">
              <w:rPr>
                <w:b w:val="0"/>
                <w:bCs w:val="0"/>
              </w:rPr>
              <w:t>DeepSeek(3.2)</w:t>
            </w:r>
          </w:p>
        </w:tc>
      </w:tr>
      <w:tr w:rsidR="00145A70" w:rsidTr="00B92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145A70" w:rsidRPr="00145A70" w:rsidRDefault="00145A70" w:rsidP="00145A70">
            <w:pPr>
              <w:tabs>
                <w:tab w:val="left" w:pos="5100"/>
              </w:tabs>
              <w:rPr>
                <w:b w:val="0"/>
                <w:bCs w:val="0"/>
              </w:rPr>
            </w:pPr>
            <w:r>
              <w:rPr>
                <w:b w:val="0"/>
                <w:bCs w:val="0"/>
              </w:rPr>
              <w:t xml:space="preserve"> </w:t>
            </w:r>
            <w:r w:rsidRPr="00145A70">
              <w:rPr>
                <w:b w:val="0"/>
                <w:bCs w:val="0"/>
              </w:rPr>
              <w:t>1) Brief Identification (2–4 bullet points)</w:t>
            </w:r>
          </w:p>
          <w:p w:rsidR="00145A70" w:rsidRPr="00145A70" w:rsidRDefault="00145A70" w:rsidP="00145A70">
            <w:pPr>
              <w:tabs>
                <w:tab w:val="left" w:pos="5100"/>
              </w:tabs>
              <w:rPr>
                <w:b w:val="0"/>
                <w:bCs w:val="0"/>
              </w:rPr>
            </w:pPr>
            <w:r w:rsidRPr="00C32563">
              <w:t xml:space="preserve"> • Topic:</w:t>
            </w:r>
            <w:r w:rsidRPr="00145A70">
              <w:rPr>
                <w:b w:val="0"/>
                <w:bCs w:val="0"/>
              </w:rPr>
              <w:t xml:space="preserve"> Open Educational Resources (OER) in higher education within a digital learning environment during the transition to online education.</w:t>
            </w:r>
          </w:p>
          <w:p w:rsidR="00145A70" w:rsidRPr="00145A70" w:rsidRDefault="00145A70" w:rsidP="00145A70">
            <w:pPr>
              <w:tabs>
                <w:tab w:val="left" w:pos="5100"/>
              </w:tabs>
              <w:rPr>
                <w:b w:val="0"/>
                <w:bCs w:val="0"/>
              </w:rPr>
            </w:pPr>
            <w:r w:rsidRPr="00145A70">
              <w:rPr>
                <w:b w:val="0"/>
                <w:bCs w:val="0"/>
              </w:rPr>
              <w:t xml:space="preserve"> </w:t>
            </w:r>
            <w:r w:rsidRPr="00C32563">
              <w:t>• Aim:</w:t>
            </w:r>
            <w:r w:rsidRPr="00145A70">
              <w:rPr>
                <w:b w:val="0"/>
                <w:bCs w:val="0"/>
              </w:rPr>
              <w:t xml:space="preserve"> To assess the relevance of OER for university instructors, systematize practices of OER use, and identify motivations and barriers to OER development.</w:t>
            </w:r>
          </w:p>
          <w:p w:rsidR="00145A70" w:rsidRPr="00145A70" w:rsidRDefault="00145A70" w:rsidP="00145A70">
            <w:pPr>
              <w:tabs>
                <w:tab w:val="left" w:pos="5100"/>
              </w:tabs>
              <w:rPr>
                <w:b w:val="0"/>
                <w:bCs w:val="0"/>
              </w:rPr>
            </w:pPr>
            <w:r w:rsidRPr="00145A70">
              <w:rPr>
                <w:b w:val="0"/>
                <w:bCs w:val="0"/>
              </w:rPr>
              <w:t xml:space="preserve"> </w:t>
            </w:r>
            <w:r w:rsidRPr="00C32563">
              <w:t>• Who/What was studied:</w:t>
            </w:r>
            <w:r w:rsidRPr="00145A70">
              <w:rPr>
                <w:b w:val="0"/>
                <w:bCs w:val="0"/>
              </w:rPr>
              <w:t xml:space="preserve"> Instructors at Russian higher education institutions and their use, creation, and exchange of educational materials in digital environments.</w:t>
            </w:r>
          </w:p>
          <w:p w:rsidR="00145A70" w:rsidRDefault="00145A70" w:rsidP="00145A70">
            <w:pPr>
              <w:tabs>
                <w:tab w:val="left" w:pos="5100"/>
              </w:tabs>
              <w:rPr>
                <w:b w:val="0"/>
                <w:bCs w:val="0"/>
              </w:rPr>
            </w:pPr>
            <w:r w:rsidRPr="00C32563">
              <w:t xml:space="preserve"> • Key results:</w:t>
            </w:r>
            <w:r w:rsidRPr="00145A70">
              <w:rPr>
                <w:b w:val="0"/>
                <w:bCs w:val="0"/>
              </w:rPr>
              <w:t xml:space="preserve"> OER were found to be highly valuable for teaching and course development; many instructors actively create and share materials online, but the lack of institutional OER policy remains a major barrier.</w:t>
            </w:r>
          </w:p>
          <w:p w:rsidR="00C32563" w:rsidRPr="00145A70" w:rsidRDefault="00C32563" w:rsidP="00145A70">
            <w:pPr>
              <w:tabs>
                <w:tab w:val="left" w:pos="5100"/>
              </w:tabs>
              <w:rPr>
                <w:b w:val="0"/>
                <w:bCs w:val="0"/>
              </w:rPr>
            </w:pPr>
          </w:p>
          <w:p w:rsidR="00145A70" w:rsidRPr="00C32563" w:rsidRDefault="00145A70" w:rsidP="00145A70">
            <w:pPr>
              <w:tabs>
                <w:tab w:val="left" w:pos="5100"/>
              </w:tabs>
            </w:pPr>
            <w:r w:rsidRPr="00145A70">
              <w:rPr>
                <w:b w:val="0"/>
                <w:bCs w:val="0"/>
              </w:rPr>
              <w:lastRenderedPageBreak/>
              <w:t xml:space="preserve"> </w:t>
            </w:r>
            <w:r w:rsidRPr="00C32563">
              <w:t>• Recommendations:</w:t>
            </w:r>
          </w:p>
          <w:p w:rsidR="00145A70" w:rsidRPr="00145A70" w:rsidRDefault="00145A70" w:rsidP="00145A70">
            <w:pPr>
              <w:tabs>
                <w:tab w:val="left" w:pos="5100"/>
              </w:tabs>
              <w:rPr>
                <w:b w:val="0"/>
                <w:bCs w:val="0"/>
              </w:rPr>
            </w:pPr>
            <w:r w:rsidRPr="00145A70">
              <w:rPr>
                <w:b w:val="0"/>
                <w:bCs w:val="0"/>
              </w:rPr>
              <w:t xml:space="preserve"> • Formalize OER in educational regulatory frameworks</w:t>
            </w:r>
          </w:p>
          <w:p w:rsidR="00145A70" w:rsidRPr="00145A70" w:rsidRDefault="00145A70" w:rsidP="00145A70">
            <w:pPr>
              <w:tabs>
                <w:tab w:val="left" w:pos="5100"/>
              </w:tabs>
              <w:rPr>
                <w:b w:val="0"/>
                <w:bCs w:val="0"/>
              </w:rPr>
            </w:pPr>
            <w:r w:rsidRPr="00145A70">
              <w:rPr>
                <w:b w:val="0"/>
                <w:bCs w:val="0"/>
              </w:rPr>
              <w:t xml:space="preserve"> • Provide methodological and legal support for instructors</w:t>
            </w:r>
          </w:p>
          <w:p w:rsidR="00145A70" w:rsidRPr="00145A70" w:rsidRDefault="00145A70" w:rsidP="00145A70">
            <w:pPr>
              <w:tabs>
                <w:tab w:val="left" w:pos="5100"/>
              </w:tabs>
              <w:rPr>
                <w:b w:val="0"/>
                <w:bCs w:val="0"/>
              </w:rPr>
            </w:pPr>
            <w:r w:rsidRPr="00145A70">
              <w:rPr>
                <w:b w:val="0"/>
                <w:bCs w:val="0"/>
              </w:rPr>
              <w:t xml:space="preserve"> • Promote awareness of OER benefits in higher education</w:t>
            </w:r>
          </w:p>
          <w:p w:rsidR="00145A70" w:rsidRPr="00C32563" w:rsidRDefault="00145A70" w:rsidP="00145A70">
            <w:pPr>
              <w:tabs>
                <w:tab w:val="left" w:pos="5100"/>
              </w:tabs>
            </w:pPr>
            <w:r w:rsidRPr="00C32563">
              <w:t>2) Academic English Translation</w:t>
            </w:r>
          </w:p>
          <w:p w:rsidR="00145A70" w:rsidRPr="00145A70" w:rsidRDefault="00145A70" w:rsidP="00145A70">
            <w:pPr>
              <w:tabs>
                <w:tab w:val="left" w:pos="5100"/>
              </w:tabs>
              <w:rPr>
                <w:b w:val="0"/>
                <w:bCs w:val="0"/>
              </w:rPr>
            </w:pPr>
            <w:r w:rsidRPr="00145A70">
              <w:rPr>
                <w:b w:val="0"/>
                <w:bCs w:val="0"/>
              </w:rPr>
              <w:t>During the period of the forced transition of universities worldwide to online learning, the demand for open-access digital services increased substantially. This situation created a unique opportunity to expand and refine the theoretical and methodological foundations of online education through the analysis of empirical results reflecting the relevance and effectiveness of individual components of the digital learning environment. Freely distributed educational materials available on the Internet constitute an integral element of this environment and are collectively referred to as Open Educational Resources (OER).</w:t>
            </w:r>
          </w:p>
          <w:p w:rsidR="00145A70" w:rsidRPr="00145A70" w:rsidRDefault="00145A70" w:rsidP="00145A70">
            <w:pPr>
              <w:tabs>
                <w:tab w:val="left" w:pos="5100"/>
              </w:tabs>
              <w:rPr>
                <w:b w:val="0"/>
                <w:bCs w:val="0"/>
              </w:rPr>
            </w:pPr>
          </w:p>
          <w:p w:rsidR="00145A70" w:rsidRPr="00145A70" w:rsidRDefault="00145A70" w:rsidP="00145A70">
            <w:pPr>
              <w:tabs>
                <w:tab w:val="left" w:pos="5100"/>
              </w:tabs>
              <w:rPr>
                <w:b w:val="0"/>
                <w:bCs w:val="0"/>
              </w:rPr>
            </w:pPr>
            <w:r w:rsidRPr="00145A70">
              <w:rPr>
                <w:b w:val="0"/>
                <w:bCs w:val="0"/>
              </w:rPr>
              <w:t xml:space="preserve">The purpose of this study was to assess the relevance of OER for instructors, systematize the main approaches to working with them, and identify the motivations and barriers associated with the development of OER. An empirical study conducted among instructors at Russian higher education institutions demonstrated the high importance and value of OER for teaching and methodological activities related to the creation and development of course content in digital environments. More than half of the instructors reported creating and disseminating their own educational materials online for the convenience of students. Instructors and students actively </w:t>
            </w:r>
            <w:r w:rsidRPr="00145A70">
              <w:rPr>
                <w:b w:val="0"/>
                <w:bCs w:val="0"/>
              </w:rPr>
              <w:lastRenderedPageBreak/>
              <w:t>exchange learning materials using a variety of web-based services.</w:t>
            </w:r>
          </w:p>
          <w:p w:rsidR="00145A70" w:rsidRPr="00145A70" w:rsidRDefault="00145A70" w:rsidP="00145A70">
            <w:pPr>
              <w:tabs>
                <w:tab w:val="left" w:pos="5100"/>
              </w:tabs>
              <w:rPr>
                <w:b w:val="0"/>
                <w:bCs w:val="0"/>
              </w:rPr>
            </w:pPr>
          </w:p>
          <w:p w:rsidR="00145A70" w:rsidRDefault="00145A70" w:rsidP="00145A70">
            <w:pPr>
              <w:tabs>
                <w:tab w:val="left" w:pos="5100"/>
              </w:tabs>
              <w:rPr>
                <w:b w:val="0"/>
                <w:bCs w:val="0"/>
              </w:rPr>
            </w:pPr>
            <w:r w:rsidRPr="00145A70">
              <w:rPr>
                <w:b w:val="0"/>
                <w:bCs w:val="0"/>
              </w:rPr>
              <w:t>Under conditions of a rapid shift from face-to-face to online instruction, as well as increasing demands on instructors and educational content, OER have become a valuable resource for educational practice. An analysis of the regulatory and legal framework revealed the absence of institutional OER policies in Russian universities, which constitutes a significant barrier to OER development. Based on the findings, the study proposes recommendations for advancing OER in higher education, including formalizing the concept of OER within educational regulations, providing methodological and legal support for instructors, and conducting informational initiatives to highlight the advantages and future potential of OER use.</w:t>
            </w:r>
          </w:p>
        </w:tc>
        <w:tc>
          <w:tcPr>
            <w:tcW w:w="4675" w:type="dxa"/>
          </w:tcPr>
          <w:p w:rsidR="00145A70" w:rsidRDefault="00145A70" w:rsidP="00145A70">
            <w:pPr>
              <w:pStyle w:val="Heading3"/>
              <w:cnfStyle w:val="000000100000" w:firstRow="0" w:lastRow="0" w:firstColumn="0" w:lastColumn="0" w:oddVBand="0" w:evenVBand="0" w:oddHBand="1" w:evenHBand="0" w:firstRowFirstColumn="0" w:firstRowLastColumn="0" w:lastRowFirstColumn="0" w:lastRowLastColumn="0"/>
              <w:rPr>
                <w:rFonts w:eastAsia="Times New Roman"/>
              </w:rPr>
            </w:pPr>
            <w:r>
              <w:rPr>
                <w:rStyle w:val="Strong"/>
                <w:b w:val="0"/>
                <w:bCs w:val="0"/>
              </w:rPr>
              <w:lastRenderedPageBreak/>
              <w:t>1. Summary of Key Points</w:t>
            </w:r>
          </w:p>
          <w:p w:rsidR="00145A70" w:rsidRDefault="00145A70" w:rsidP="00145A70">
            <w:pPr>
              <w:pStyle w:val="ds-markdown-paragraph"/>
              <w:numPr>
                <w:ilvl w:val="0"/>
                <w:numId w:val="1"/>
              </w:numPr>
              <w:cnfStyle w:val="000000100000" w:firstRow="0" w:lastRow="0" w:firstColumn="0" w:lastColumn="0" w:oddVBand="0" w:evenVBand="0" w:oddHBand="1" w:evenHBand="0" w:firstRowFirstColumn="0" w:firstRowLastColumn="0" w:lastRowFirstColumn="0" w:lastRowLastColumn="0"/>
            </w:pPr>
            <w:r>
              <w:rPr>
                <w:rStyle w:val="Strong"/>
              </w:rPr>
              <w:t>Topic:</w:t>
            </w:r>
            <w:r>
              <w:t xml:space="preserve"> The role and perception of Open Educational Resources (OER) in the digital learning environment of higher education, with a focus on the Russian context.</w:t>
            </w:r>
          </w:p>
          <w:p w:rsidR="00145A70" w:rsidRDefault="00145A70" w:rsidP="00145A70">
            <w:pPr>
              <w:pStyle w:val="ds-markdown-paragraph"/>
              <w:numPr>
                <w:ilvl w:val="0"/>
                <w:numId w:val="1"/>
              </w:numPr>
              <w:cnfStyle w:val="000000100000" w:firstRow="0" w:lastRow="0" w:firstColumn="0" w:lastColumn="0" w:oddVBand="0" w:evenVBand="0" w:oddHBand="1" w:evenHBand="0" w:firstRowFirstColumn="0" w:firstRowLastColumn="0" w:lastRowFirstColumn="0" w:lastRowLastColumn="0"/>
            </w:pPr>
            <w:r>
              <w:rPr>
                <w:rStyle w:val="Strong"/>
              </w:rPr>
              <w:t>Aim:</w:t>
            </w:r>
            <w:r>
              <w:t xml:space="preserve"> To assess the relevance of OER for instructors, systematize their usage methods, and identify motivations and barriers in OER development.</w:t>
            </w:r>
          </w:p>
          <w:p w:rsidR="00145A70" w:rsidRDefault="00145A70" w:rsidP="00145A70">
            <w:pPr>
              <w:pStyle w:val="ds-markdown-paragraph"/>
              <w:numPr>
                <w:ilvl w:val="0"/>
                <w:numId w:val="1"/>
              </w:numPr>
              <w:cnfStyle w:val="000000100000" w:firstRow="0" w:lastRow="0" w:firstColumn="0" w:lastColumn="0" w:oddVBand="0" w:evenVBand="0" w:oddHBand="1" w:evenHBand="0" w:firstRowFirstColumn="0" w:firstRowLastColumn="0" w:lastRowFirstColumn="0" w:lastRowLastColumn="0"/>
            </w:pPr>
            <w:r>
              <w:rPr>
                <w:rStyle w:val="Strong"/>
              </w:rPr>
              <w:t>Who/What was studied:</w:t>
            </w:r>
            <w:r>
              <w:t xml:space="preserve"> Teaching staff (faculty/instructors) at Russian universities.</w:t>
            </w:r>
          </w:p>
          <w:p w:rsidR="00145A70" w:rsidRDefault="00145A70" w:rsidP="00145A70">
            <w:pPr>
              <w:pStyle w:val="ds-markdown-paragraph"/>
              <w:numPr>
                <w:ilvl w:val="0"/>
                <w:numId w:val="1"/>
              </w:numPr>
              <w:cnfStyle w:val="000000100000" w:firstRow="0" w:lastRow="0" w:firstColumn="0" w:lastColumn="0" w:oddVBand="0" w:evenVBand="0" w:oddHBand="1" w:evenHBand="0" w:firstRowFirstColumn="0" w:firstRowLastColumn="0" w:lastRowFirstColumn="0" w:lastRowLastColumn="0"/>
            </w:pPr>
            <w:r>
              <w:rPr>
                <w:rStyle w:val="Strong"/>
              </w:rPr>
              <w:t>Key Results:</w:t>
            </w:r>
          </w:p>
          <w:p w:rsidR="00145A70" w:rsidRDefault="00145A70" w:rsidP="00145A70">
            <w:pPr>
              <w:pStyle w:val="ds-markdown-paragraph"/>
              <w:numPr>
                <w:ilvl w:val="1"/>
                <w:numId w:val="1"/>
              </w:numPr>
              <w:cnfStyle w:val="000000100000" w:firstRow="0" w:lastRow="0" w:firstColumn="0" w:lastColumn="0" w:oddVBand="0" w:evenVBand="0" w:oddHBand="1" w:evenHBand="0" w:firstRowFirstColumn="0" w:firstRowLastColumn="0" w:lastRowFirstColumn="0" w:lastRowLastColumn="0"/>
            </w:pPr>
            <w:r>
              <w:t>Instructors highly value OER for developing digital course content.</w:t>
            </w:r>
          </w:p>
          <w:p w:rsidR="00145A70" w:rsidRDefault="00145A70" w:rsidP="00145A70">
            <w:pPr>
              <w:pStyle w:val="ds-markdown-paragraph"/>
              <w:numPr>
                <w:ilvl w:val="1"/>
                <w:numId w:val="1"/>
              </w:numPr>
              <w:cnfStyle w:val="000000100000" w:firstRow="0" w:lastRow="0" w:firstColumn="0" w:lastColumn="0" w:oddVBand="0" w:evenVBand="0" w:oddHBand="1" w:evenHBand="0" w:firstRowFirstColumn="0" w:firstRowLastColumn="0" w:lastRowFirstColumn="0" w:lastRowLastColumn="0"/>
            </w:pPr>
            <w:r>
              <w:t>Over half of them create and share their own materials online.</w:t>
            </w:r>
          </w:p>
          <w:p w:rsidR="00145A70" w:rsidRDefault="00145A70" w:rsidP="00145A70">
            <w:pPr>
              <w:pStyle w:val="ds-markdown-paragraph"/>
              <w:numPr>
                <w:ilvl w:val="1"/>
                <w:numId w:val="1"/>
              </w:numPr>
              <w:cnfStyle w:val="000000100000" w:firstRow="0" w:lastRow="0" w:firstColumn="0" w:lastColumn="0" w:oddVBand="0" w:evenVBand="0" w:oddHBand="1" w:evenHBand="0" w:firstRowFirstColumn="0" w:firstRowLastColumn="0" w:lastRowFirstColumn="0" w:lastRowLastColumn="0"/>
            </w:pPr>
            <w:r>
              <w:t>Active exchange of materials occurs between instructors and students using web services.</w:t>
            </w:r>
          </w:p>
          <w:p w:rsidR="00145A70" w:rsidRDefault="00145A70" w:rsidP="00145A70">
            <w:pPr>
              <w:pStyle w:val="ds-markdown-paragraph"/>
              <w:numPr>
                <w:ilvl w:val="1"/>
                <w:numId w:val="1"/>
              </w:numPr>
              <w:cnfStyle w:val="000000100000" w:firstRow="0" w:lastRow="0" w:firstColumn="0" w:lastColumn="0" w:oddVBand="0" w:evenVBand="0" w:oddHBand="1" w:evenHBand="0" w:firstRowFirstColumn="0" w:firstRowLastColumn="0" w:lastRowFirstColumn="0" w:lastRowLastColumn="0"/>
            </w:pPr>
            <w:r>
              <w:lastRenderedPageBreak/>
              <w:t>A significant barrier is the absence of a formal institutional OER policy.</w:t>
            </w:r>
          </w:p>
          <w:p w:rsidR="00145A70" w:rsidRDefault="00145A70" w:rsidP="00145A70">
            <w:pPr>
              <w:pStyle w:val="ds-markdown-paragraph"/>
              <w:numPr>
                <w:ilvl w:val="0"/>
                <w:numId w:val="1"/>
              </w:numPr>
              <w:cnfStyle w:val="000000100000" w:firstRow="0" w:lastRow="0" w:firstColumn="0" w:lastColumn="0" w:oddVBand="0" w:evenVBand="0" w:oddHBand="1" w:evenHBand="0" w:firstRowFirstColumn="0" w:firstRowLastColumn="0" w:lastRowFirstColumn="0" w:lastRowLastColumn="0"/>
            </w:pPr>
            <w:r>
              <w:rPr>
                <w:rStyle w:val="Strong"/>
              </w:rPr>
              <w:t>Recommendations:</w:t>
            </w:r>
          </w:p>
          <w:p w:rsidR="00145A70" w:rsidRDefault="00145A70" w:rsidP="00145A70">
            <w:pPr>
              <w:pStyle w:val="ds-markdown-paragraph"/>
              <w:numPr>
                <w:ilvl w:val="1"/>
                <w:numId w:val="2"/>
              </w:numPr>
              <w:cnfStyle w:val="000000100000" w:firstRow="0" w:lastRow="0" w:firstColumn="0" w:lastColumn="0" w:oddVBand="0" w:evenVBand="0" w:oddHBand="1" w:evenHBand="0" w:firstRowFirstColumn="0" w:firstRowLastColumn="0" w:lastRowFirstColumn="0" w:lastRowLastColumn="0"/>
            </w:pPr>
            <w:r>
              <w:t>Legally formalize the concept of OER within the educational regulatory framework.</w:t>
            </w:r>
          </w:p>
          <w:p w:rsidR="00145A70" w:rsidRDefault="00145A70" w:rsidP="00145A70">
            <w:pPr>
              <w:pStyle w:val="ds-markdown-paragraph"/>
              <w:numPr>
                <w:ilvl w:val="1"/>
                <w:numId w:val="2"/>
              </w:numPr>
              <w:cnfStyle w:val="000000100000" w:firstRow="0" w:lastRow="0" w:firstColumn="0" w:lastColumn="0" w:oddVBand="0" w:evenVBand="0" w:oddHBand="1" w:evenHBand="0" w:firstRowFirstColumn="0" w:firstRowLastColumn="0" w:lastRowFirstColumn="0" w:lastRowLastColumn="0"/>
            </w:pPr>
            <w:r>
              <w:t>Provide instructors with methodological and legal support for creating and using OER.</w:t>
            </w:r>
          </w:p>
          <w:p w:rsidR="00145A70" w:rsidRDefault="00145A70" w:rsidP="00145A70">
            <w:pPr>
              <w:pStyle w:val="ds-markdown-paragraph"/>
              <w:numPr>
                <w:ilvl w:val="1"/>
                <w:numId w:val="2"/>
              </w:numPr>
              <w:cnfStyle w:val="000000100000" w:firstRow="0" w:lastRow="0" w:firstColumn="0" w:lastColumn="0" w:oddVBand="0" w:evenVBand="0" w:oddHBand="1" w:evenHBand="0" w:firstRowFirstColumn="0" w:firstRowLastColumn="0" w:lastRowFirstColumn="0" w:lastRowLastColumn="0"/>
            </w:pPr>
            <w:r>
              <w:t>Launch information campaigns to promote the benefits of OER in higher education.</w:t>
            </w:r>
          </w:p>
          <w:p w:rsidR="00145A70" w:rsidRDefault="00145A70" w:rsidP="00145A70">
            <w:pPr>
              <w:cnfStyle w:val="000000100000" w:firstRow="0" w:lastRow="0" w:firstColumn="0" w:lastColumn="0" w:oddVBand="0" w:evenVBand="0" w:oddHBand="1" w:evenHBand="0" w:firstRowFirstColumn="0" w:firstRowLastColumn="0" w:lastRowFirstColumn="0" w:lastRowLastColumn="0"/>
            </w:pPr>
            <w:r>
              <w:pict>
                <v:rect id="_x0000_i1041" style="width:0;height:1.5pt" o:hralign="center" o:hrstd="t" o:hr="t" fillcolor="#a0a0a0" stroked="f"/>
              </w:pict>
            </w:r>
          </w:p>
          <w:p w:rsidR="00145A70" w:rsidRDefault="00145A70" w:rsidP="00145A70">
            <w:pPr>
              <w:pStyle w:val="Heading3"/>
              <w:cnfStyle w:val="000000100000" w:firstRow="0" w:lastRow="0" w:firstColumn="0" w:lastColumn="0" w:oddVBand="0" w:evenVBand="0" w:oddHBand="1" w:evenHBand="0" w:firstRowFirstColumn="0" w:firstRowLastColumn="0" w:lastRowFirstColumn="0" w:lastRowLastColumn="0"/>
            </w:pPr>
            <w:r>
              <w:rPr>
                <w:rStyle w:val="Strong"/>
                <w:b w:val="0"/>
                <w:bCs w:val="0"/>
              </w:rPr>
              <w:t>2. Academic English Translation</w:t>
            </w:r>
          </w:p>
          <w:p w:rsidR="00145A70" w:rsidRDefault="00145A70" w:rsidP="00145A70">
            <w:pPr>
              <w:pStyle w:val="ds-markdown-paragraph"/>
              <w:cnfStyle w:val="000000100000" w:firstRow="0" w:lastRow="0" w:firstColumn="0" w:lastColumn="0" w:oddVBand="0" w:evenVBand="0" w:oddHBand="1" w:evenHBand="0" w:firstRowFirstColumn="0" w:firstRowLastColumn="0" w:lastRowFirstColumn="0" w:lastRowLastColumn="0"/>
            </w:pPr>
            <w:r>
              <w:t>The forced global transition of universities to online learning significantly increased the demand for freely accessible digital services. This created a unique opportunity to enhance and develop the theoretical and methodological underpinnings of online education by analyzing empirical results that characterize the relevance and effectiveness of specific elements within the digital environment. Freely distributed educational materials on the internet constitute one such element, unified under the concept of Open Educational Resources (OER).</w:t>
            </w:r>
          </w:p>
          <w:p w:rsidR="00145A70" w:rsidRDefault="00145A70" w:rsidP="00145A70">
            <w:pPr>
              <w:pStyle w:val="ds-markdown-paragraph"/>
              <w:cnfStyle w:val="000000100000" w:firstRow="0" w:lastRow="0" w:firstColumn="0" w:lastColumn="0" w:oddVBand="0" w:evenVBand="0" w:oddHBand="1" w:evenHBand="0" w:firstRowFirstColumn="0" w:firstRowLastColumn="0" w:lastRowFirstColumn="0" w:lastRowLastColumn="0"/>
            </w:pPr>
            <w:r>
              <w:t xml:space="preserve">This study aims to evaluate the relevance of OER for instructors, systematize the primary methods of working with them, and identify the motives and barriers in OER development. Research conducted among faculty at Russian universities demonstrated the high importance and value of OER for their instructional and methodological work in creating and developing digital subject content. More than half of the instructors create and disseminate their own materials online for the convenience of their students. Furthermore, </w:t>
            </w:r>
            <w:r>
              <w:lastRenderedPageBreak/>
              <w:t>instructors and students freely exchange educational materials using various web services. In the context of the rapid shift from in-person to online learning and the growing demands on both educators and curricular content, OER have become a valuable asset for educational activity.</w:t>
            </w:r>
          </w:p>
          <w:p w:rsidR="00145A70" w:rsidRDefault="00145A70" w:rsidP="00145A70">
            <w:pPr>
              <w:pStyle w:val="ds-markdown-paragraph"/>
              <w:cnfStyle w:val="000000100000" w:firstRow="0" w:lastRow="0" w:firstColumn="0" w:lastColumn="0" w:oddVBand="0" w:evenVBand="0" w:oddHBand="1" w:evenHBand="0" w:firstRowFirstColumn="0" w:firstRowLastColumn="0" w:lastRowFirstColumn="0" w:lastRowLastColumn="0"/>
            </w:pPr>
            <w:r>
              <w:t>An analysis of the regulatory framework revealed a lack of institutional OER policies in Russian universities, which constitutes a significant barrier to OER creation. The obtained results enabled the formulation of recommendations for advancing OER in higher education: formalize the concept of OER within the educational legal and regulatory base; ensure methodological and legal support for instructors in creating and using OER; and conduct an information campaign to highlight the prospects and advantages of utilizing OER in higher education.</w:t>
            </w:r>
          </w:p>
          <w:p w:rsidR="00145A70" w:rsidRDefault="00145A70" w:rsidP="00145A70">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b/>
                <w:bCs/>
              </w:rPr>
            </w:pPr>
          </w:p>
        </w:tc>
      </w:tr>
    </w:tbl>
    <w:p w:rsidR="00145A70" w:rsidRDefault="00145A70" w:rsidP="003751A3">
      <w:pPr>
        <w:tabs>
          <w:tab w:val="left" w:pos="5100"/>
        </w:tabs>
        <w:rPr>
          <w:b/>
          <w:bCs/>
        </w:rPr>
      </w:pPr>
    </w:p>
    <w:p w:rsidR="00EE37FE" w:rsidRPr="00EE37FE" w:rsidRDefault="00EE37FE" w:rsidP="00EE37FE">
      <w:pPr>
        <w:tabs>
          <w:tab w:val="left" w:pos="5100"/>
        </w:tabs>
        <w:rPr>
          <w:b/>
          <w:bCs/>
        </w:rPr>
      </w:pPr>
      <w:r w:rsidRPr="00EE37FE">
        <w:rPr>
          <w:b/>
          <w:bCs/>
        </w:rPr>
        <w:t>Prompt 5 — Stage 1 (terms table):</w:t>
      </w:r>
    </w:p>
    <w:p w:rsidR="00EE37FE" w:rsidRPr="00EE37FE" w:rsidRDefault="00EE37FE" w:rsidP="00EE37FE">
      <w:pPr>
        <w:tabs>
          <w:tab w:val="left" w:pos="5100"/>
        </w:tabs>
        <w:rPr>
          <w:b/>
          <w:bCs/>
        </w:rPr>
      </w:pPr>
      <w:r w:rsidRPr="00EE37FE">
        <w:rPr>
          <w:b/>
          <w:bCs/>
        </w:rPr>
        <w:t>Read the Russian text and create a table of ambiguous/technical terms (at least 10). Columns: RU phrase | 2–3 EN options | recommended EN + short reason. Text:</w:t>
      </w:r>
    </w:p>
    <w:p w:rsidR="00EE37FE" w:rsidRPr="00EE37FE" w:rsidRDefault="00EE37FE" w:rsidP="00EE37FE">
      <w:pPr>
        <w:tabs>
          <w:tab w:val="left" w:pos="5100"/>
        </w:tabs>
        <w:rPr>
          <w:b/>
          <w:bCs/>
        </w:rPr>
      </w:pPr>
      <w:r w:rsidRPr="00EE37FE">
        <w:rPr>
          <w:b/>
          <w:bCs/>
        </w:rPr>
        <w:t>Prompt 5 — Stage 2 (final translation using chosen terms):</w:t>
      </w:r>
    </w:p>
    <w:p w:rsidR="00EE37FE" w:rsidRDefault="00EE37FE" w:rsidP="00EE37FE">
      <w:pPr>
        <w:tabs>
          <w:tab w:val="left" w:pos="5100"/>
        </w:tabs>
        <w:rPr>
          <w:b/>
          <w:bCs/>
        </w:rPr>
      </w:pPr>
      <w:r w:rsidRPr="00EE37FE">
        <w:rPr>
          <w:b/>
          <w:bCs/>
        </w:rPr>
        <w:t>Translate the text into English strictly using the recommended term translations from the table above. Keep academic style. Text:</w:t>
      </w:r>
    </w:p>
    <w:p w:rsidR="00EE37FE" w:rsidRDefault="00EE37FE" w:rsidP="003751A3">
      <w:pPr>
        <w:tabs>
          <w:tab w:val="left" w:pos="5100"/>
        </w:tabs>
        <w:rPr>
          <w:b/>
          <w:bCs/>
        </w:rPr>
      </w:pPr>
    </w:p>
    <w:p w:rsidR="00EE37FE" w:rsidRDefault="00EE37FE" w:rsidP="003751A3">
      <w:pPr>
        <w:tabs>
          <w:tab w:val="left" w:pos="5100"/>
        </w:tabs>
        <w:rPr>
          <w:b/>
          <w:bCs/>
        </w:rPr>
      </w:pPr>
    </w:p>
    <w:tbl>
      <w:tblPr>
        <w:tblStyle w:val="PlainTable4"/>
        <w:tblW w:w="0" w:type="auto"/>
        <w:tblLook w:val="04A0" w:firstRow="1" w:lastRow="0" w:firstColumn="1" w:lastColumn="0" w:noHBand="0" w:noVBand="1"/>
      </w:tblPr>
      <w:tblGrid>
        <w:gridCol w:w="9350"/>
      </w:tblGrid>
      <w:tr w:rsidR="00C32563" w:rsidTr="00EE37F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350" w:type="dxa"/>
          </w:tcPr>
          <w:p w:rsidR="00C32563" w:rsidRPr="00AF66DB" w:rsidRDefault="00EE37FE" w:rsidP="00C32563">
            <w:pPr>
              <w:tabs>
                <w:tab w:val="left" w:pos="5100"/>
              </w:tabs>
              <w:jc w:val="center"/>
            </w:pPr>
            <w:r w:rsidRPr="00AF66DB">
              <w:t>DeepSeek(3.2)</w:t>
            </w:r>
          </w:p>
        </w:tc>
      </w:tr>
      <w:tr w:rsidR="00C32563" w:rsidTr="00EE3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350" w:type="dxa"/>
          </w:tcPr>
          <w:p w:rsidR="00C32563" w:rsidRDefault="00C32563" w:rsidP="00C32563">
            <w:pPr>
              <w:pStyle w:val="Heading3"/>
              <w:rPr>
                <w:rFonts w:eastAsia="Times New Roman"/>
              </w:rPr>
            </w:pPr>
            <w:r>
              <w:lastRenderedPageBreak/>
              <w:t>Prompt 5 — Stage 1 (Terms Table)</w:t>
            </w:r>
          </w:p>
          <w:p w:rsidR="00C32563" w:rsidRDefault="00C32563" w:rsidP="00C32563">
            <w:pPr>
              <w:pStyle w:val="ds-markdown-paragraph"/>
            </w:pPr>
            <w:r>
              <w:t>Here is a table of key technical or ambiguous terms from the Russian text, with English options and a recommended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2923"/>
              <w:gridCol w:w="3995"/>
            </w:tblGrid>
            <w:tr w:rsidR="00C32563" w:rsidTr="00C32563">
              <w:trPr>
                <w:tblHeader/>
                <w:tblCellSpacing w:w="15" w:type="dxa"/>
              </w:trPr>
              <w:tc>
                <w:tcPr>
                  <w:tcW w:w="0" w:type="auto"/>
                  <w:vAlign w:val="center"/>
                  <w:hideMark/>
                </w:tcPr>
                <w:p w:rsidR="00C32563" w:rsidRDefault="00C32563" w:rsidP="00C32563">
                  <w:pPr>
                    <w:jc w:val="center"/>
                    <w:rPr>
                      <w:b/>
                      <w:bCs/>
                    </w:rPr>
                  </w:pPr>
                  <w:r>
                    <w:rPr>
                      <w:b/>
                      <w:bCs/>
                    </w:rPr>
                    <w:t>RU phrase</w:t>
                  </w:r>
                </w:p>
              </w:tc>
              <w:tc>
                <w:tcPr>
                  <w:tcW w:w="0" w:type="auto"/>
                  <w:vAlign w:val="center"/>
                  <w:hideMark/>
                </w:tcPr>
                <w:p w:rsidR="00C32563" w:rsidRDefault="00C32563" w:rsidP="00C32563">
                  <w:pPr>
                    <w:jc w:val="center"/>
                    <w:rPr>
                      <w:b/>
                      <w:bCs/>
                    </w:rPr>
                  </w:pPr>
                  <w:r>
                    <w:rPr>
                      <w:b/>
                      <w:bCs/>
                    </w:rPr>
                    <w:t>2–3 EN options</w:t>
                  </w:r>
                </w:p>
              </w:tc>
              <w:tc>
                <w:tcPr>
                  <w:tcW w:w="0" w:type="auto"/>
                  <w:vAlign w:val="center"/>
                  <w:hideMark/>
                </w:tcPr>
                <w:p w:rsidR="00C32563" w:rsidRDefault="00C32563" w:rsidP="00C32563">
                  <w:pPr>
                    <w:jc w:val="center"/>
                    <w:rPr>
                      <w:b/>
                      <w:bCs/>
                    </w:rPr>
                  </w:pPr>
                  <w:r>
                    <w:rPr>
                      <w:b/>
                      <w:bCs/>
                    </w:rPr>
                    <w:t>recommended EN + short reason</w:t>
                  </w:r>
                </w:p>
              </w:tc>
            </w:tr>
            <w:tr w:rsidR="00C32563" w:rsidTr="00C32563">
              <w:trPr>
                <w:tblCellSpacing w:w="15" w:type="dxa"/>
              </w:trPr>
              <w:tc>
                <w:tcPr>
                  <w:tcW w:w="0" w:type="auto"/>
                  <w:vAlign w:val="center"/>
                  <w:hideMark/>
                </w:tcPr>
                <w:p w:rsidR="00C32563" w:rsidRDefault="00C32563" w:rsidP="00C32563">
                  <w:r>
                    <w:t>вынужденного перехода</w:t>
                  </w:r>
                </w:p>
              </w:tc>
              <w:tc>
                <w:tcPr>
                  <w:tcW w:w="0" w:type="auto"/>
                  <w:vAlign w:val="center"/>
                  <w:hideMark/>
                </w:tcPr>
                <w:p w:rsidR="00C32563" w:rsidRDefault="00C32563" w:rsidP="00C32563">
                  <w:r>
                    <w:t>forced transition / compelled shift / mandatory move</w:t>
                  </w:r>
                </w:p>
              </w:tc>
              <w:tc>
                <w:tcPr>
                  <w:tcW w:w="0" w:type="auto"/>
                  <w:vAlign w:val="center"/>
                  <w:hideMark/>
                </w:tcPr>
                <w:p w:rsidR="00C32563" w:rsidRDefault="00EE37FE" w:rsidP="00C32563">
                  <w:r>
                    <w:rPr>
                      <w:rStyle w:val="Strong"/>
                    </w:rPr>
                    <w:t>Forced</w:t>
                  </w:r>
                  <w:r w:rsidR="00C32563">
                    <w:rPr>
                      <w:rStyle w:val="Strong"/>
                    </w:rPr>
                    <w:t xml:space="preserve"> transition</w:t>
                  </w:r>
                  <w:r w:rsidR="00C32563">
                    <w:t xml:space="preserve"> – Most direct and commonly used in academic contexts for sudden, externally imposed changes.</w:t>
                  </w:r>
                </w:p>
              </w:tc>
            </w:tr>
            <w:tr w:rsidR="00C32563" w:rsidTr="00C32563">
              <w:trPr>
                <w:tblCellSpacing w:w="15" w:type="dxa"/>
              </w:trPr>
              <w:tc>
                <w:tcPr>
                  <w:tcW w:w="0" w:type="auto"/>
                  <w:vAlign w:val="center"/>
                  <w:hideMark/>
                </w:tcPr>
                <w:p w:rsidR="00C32563" w:rsidRDefault="00C32563" w:rsidP="00C32563">
                  <w:proofErr w:type="spellStart"/>
                  <w:r>
                    <w:t>цифровых</w:t>
                  </w:r>
                  <w:proofErr w:type="spellEnd"/>
                  <w:r>
                    <w:t xml:space="preserve"> сервисов </w:t>
                  </w:r>
                  <w:proofErr w:type="spellStart"/>
                  <w:r>
                    <w:t>свободного</w:t>
                  </w:r>
                  <w:proofErr w:type="spellEnd"/>
                  <w:r>
                    <w:t xml:space="preserve"> доступа</w:t>
                  </w:r>
                </w:p>
              </w:tc>
              <w:tc>
                <w:tcPr>
                  <w:tcW w:w="0" w:type="auto"/>
                  <w:vAlign w:val="center"/>
                  <w:hideMark/>
                </w:tcPr>
                <w:p w:rsidR="00C32563" w:rsidRDefault="00C32563" w:rsidP="00C32563">
                  <w:r>
                    <w:t>freely accessible digital services / digital services of free access / open-access digital services</w:t>
                  </w:r>
                </w:p>
              </w:tc>
              <w:tc>
                <w:tcPr>
                  <w:tcW w:w="0" w:type="auto"/>
                  <w:vAlign w:val="center"/>
                  <w:hideMark/>
                </w:tcPr>
                <w:p w:rsidR="00C32563" w:rsidRDefault="00EE37FE" w:rsidP="00C32563">
                  <w:r>
                    <w:rPr>
                      <w:rStyle w:val="Strong"/>
                    </w:rPr>
                    <w:t>Open-access</w:t>
                  </w:r>
                  <w:r w:rsidR="00C32563">
                    <w:rPr>
                      <w:rStyle w:val="Strong"/>
                    </w:rPr>
                    <w:t xml:space="preserve"> digital services</w:t>
                  </w:r>
                  <w:r w:rsidR="00C32563">
                    <w:t xml:space="preserve"> – "Open-access" is a standard term in academia for resources available without cost or restriction.</w:t>
                  </w:r>
                </w:p>
              </w:tc>
            </w:tr>
            <w:tr w:rsidR="00C32563" w:rsidTr="00C32563">
              <w:trPr>
                <w:tblCellSpacing w:w="15" w:type="dxa"/>
              </w:trPr>
              <w:tc>
                <w:tcPr>
                  <w:tcW w:w="0" w:type="auto"/>
                  <w:vAlign w:val="center"/>
                  <w:hideMark/>
                </w:tcPr>
                <w:p w:rsidR="00C32563" w:rsidRDefault="00C32563" w:rsidP="00C32563">
                  <w:r>
                    <w:t xml:space="preserve">теоретические и </w:t>
                  </w:r>
                  <w:proofErr w:type="spellStart"/>
                  <w:r>
                    <w:t>методологические</w:t>
                  </w:r>
                  <w:proofErr w:type="spellEnd"/>
                  <w:r>
                    <w:t xml:space="preserve"> положения</w:t>
                  </w:r>
                </w:p>
              </w:tc>
              <w:tc>
                <w:tcPr>
                  <w:tcW w:w="0" w:type="auto"/>
                  <w:vAlign w:val="center"/>
                  <w:hideMark/>
                </w:tcPr>
                <w:p w:rsidR="00C32563" w:rsidRDefault="00C32563" w:rsidP="00C32563">
                  <w:r>
                    <w:t>theoretical and methodological principles / theoretical and methodological provisions / theoretical and methodological foundations</w:t>
                  </w:r>
                </w:p>
              </w:tc>
              <w:tc>
                <w:tcPr>
                  <w:tcW w:w="0" w:type="auto"/>
                  <w:vAlign w:val="center"/>
                  <w:hideMark/>
                </w:tcPr>
                <w:p w:rsidR="00C32563" w:rsidRDefault="00EE37FE" w:rsidP="00C32563">
                  <w:r>
                    <w:rPr>
                      <w:rStyle w:val="Strong"/>
                    </w:rPr>
                    <w:t>Theoretical</w:t>
                  </w:r>
                  <w:r w:rsidR="00C32563">
                    <w:rPr>
                      <w:rStyle w:val="Strong"/>
                    </w:rPr>
                    <w:t xml:space="preserve"> and methodological foundations</w:t>
                  </w:r>
                  <w:r w:rsidR="00C32563">
                    <w:t xml:space="preserve"> – Suggests the base or underpinning of a field of study, which is fitting for discussing the basis of online learning.</w:t>
                  </w:r>
                </w:p>
              </w:tc>
            </w:tr>
            <w:tr w:rsidR="00C32563" w:rsidTr="00C32563">
              <w:trPr>
                <w:tblCellSpacing w:w="15" w:type="dxa"/>
              </w:trPr>
              <w:tc>
                <w:tcPr>
                  <w:tcW w:w="0" w:type="auto"/>
                  <w:vAlign w:val="center"/>
                  <w:hideMark/>
                </w:tcPr>
                <w:p w:rsidR="00C32563" w:rsidRDefault="00C32563" w:rsidP="00C32563">
                  <w:r>
                    <w:t>эмпирических результатов</w:t>
                  </w:r>
                </w:p>
              </w:tc>
              <w:tc>
                <w:tcPr>
                  <w:tcW w:w="0" w:type="auto"/>
                  <w:vAlign w:val="center"/>
                  <w:hideMark/>
                </w:tcPr>
                <w:p w:rsidR="00C32563" w:rsidRDefault="00C32563" w:rsidP="00C32563">
                  <w:r>
                    <w:t>empirical results / empirical findings / empirical data</w:t>
                  </w:r>
                </w:p>
              </w:tc>
              <w:tc>
                <w:tcPr>
                  <w:tcW w:w="0" w:type="auto"/>
                  <w:vAlign w:val="center"/>
                  <w:hideMark/>
                </w:tcPr>
                <w:p w:rsidR="00C32563" w:rsidRDefault="00EE37FE" w:rsidP="00C32563">
                  <w:r>
                    <w:rPr>
                      <w:rStyle w:val="Strong"/>
                    </w:rPr>
                    <w:t>Empirical</w:t>
                  </w:r>
                  <w:r w:rsidR="00C32563">
                    <w:rPr>
                      <w:rStyle w:val="Strong"/>
                    </w:rPr>
                    <w:t xml:space="preserve"> findings</w:t>
                  </w:r>
                  <w:r w:rsidR="00C32563">
                    <w:t xml:space="preserve"> – Slightly more academic than "results" and commonly paired with "analysis."</w:t>
                  </w:r>
                </w:p>
              </w:tc>
            </w:tr>
            <w:tr w:rsidR="00C32563" w:rsidTr="00C32563">
              <w:trPr>
                <w:tblCellSpacing w:w="15" w:type="dxa"/>
              </w:trPr>
              <w:tc>
                <w:tcPr>
                  <w:tcW w:w="0" w:type="auto"/>
                  <w:vAlign w:val="center"/>
                  <w:hideMark/>
                </w:tcPr>
                <w:p w:rsidR="00C32563" w:rsidRDefault="00C32563" w:rsidP="00C32563">
                  <w:r>
                    <w:t>цифровой среды</w:t>
                  </w:r>
                </w:p>
              </w:tc>
              <w:tc>
                <w:tcPr>
                  <w:tcW w:w="0" w:type="auto"/>
                  <w:vAlign w:val="center"/>
                  <w:hideMark/>
                </w:tcPr>
                <w:p w:rsidR="00C32563" w:rsidRDefault="00C32563" w:rsidP="00C32563">
                  <w:r>
                    <w:t>digital environment / digital space / digital landscape</w:t>
                  </w:r>
                </w:p>
              </w:tc>
              <w:tc>
                <w:tcPr>
                  <w:tcW w:w="0" w:type="auto"/>
                  <w:vAlign w:val="center"/>
                  <w:hideMark/>
                </w:tcPr>
                <w:p w:rsidR="00C32563" w:rsidRDefault="00EE37FE" w:rsidP="00C32563">
                  <w:r>
                    <w:rPr>
                      <w:rStyle w:val="Strong"/>
                    </w:rPr>
                    <w:t>Digital</w:t>
                  </w:r>
                  <w:r w:rsidR="00C32563">
                    <w:rPr>
                      <w:rStyle w:val="Strong"/>
                    </w:rPr>
                    <w:t xml:space="preserve"> learning environment</w:t>
                  </w:r>
                  <w:r w:rsidR="00C32563">
                    <w:t xml:space="preserve"> – More specific and accurate in this educational context than the generic "environment."</w:t>
                  </w:r>
                </w:p>
              </w:tc>
            </w:tr>
            <w:tr w:rsidR="00C32563" w:rsidTr="00C32563">
              <w:trPr>
                <w:tblCellSpacing w:w="15" w:type="dxa"/>
              </w:trPr>
              <w:tc>
                <w:tcPr>
                  <w:tcW w:w="0" w:type="auto"/>
                  <w:vAlign w:val="center"/>
                  <w:hideMark/>
                </w:tcPr>
                <w:p w:rsidR="00C32563" w:rsidRDefault="00C32563" w:rsidP="00C32563">
                  <w:proofErr w:type="spellStart"/>
                  <w:r>
                    <w:t>учебно-методической</w:t>
                  </w:r>
                  <w:proofErr w:type="spellEnd"/>
                  <w:r>
                    <w:t xml:space="preserve"> деятельности</w:t>
                  </w:r>
                </w:p>
              </w:tc>
              <w:tc>
                <w:tcPr>
                  <w:tcW w:w="0" w:type="auto"/>
                  <w:vAlign w:val="center"/>
                  <w:hideMark/>
                </w:tcPr>
                <w:p w:rsidR="00C32563" w:rsidRDefault="00C32563" w:rsidP="00C32563">
                  <w:r>
                    <w:t>teaching and methodological work / instructional and methodological activity / educational and methodological activity</w:t>
                  </w:r>
                </w:p>
              </w:tc>
              <w:tc>
                <w:tcPr>
                  <w:tcW w:w="0" w:type="auto"/>
                  <w:vAlign w:val="center"/>
                  <w:hideMark/>
                </w:tcPr>
                <w:p w:rsidR="00C32563" w:rsidRDefault="00EE37FE" w:rsidP="00C32563">
                  <w:r>
                    <w:rPr>
                      <w:rStyle w:val="Strong"/>
                    </w:rPr>
                    <w:t>Instructional</w:t>
                  </w:r>
                  <w:r w:rsidR="00C32563">
                    <w:rPr>
                      <w:rStyle w:val="Strong"/>
                    </w:rPr>
                    <w:t xml:space="preserve"> and methodological work</w:t>
                  </w:r>
                  <w:r w:rsidR="00C32563">
                    <w:t xml:space="preserve"> – Captures the dual focus on teaching (</w:t>
                  </w:r>
                  <w:r w:rsidR="00C32563">
                    <w:rPr>
                      <w:rStyle w:val="Emphasis"/>
                    </w:rPr>
                    <w:t>instructional</w:t>
                  </w:r>
                  <w:r w:rsidR="00C32563">
                    <w:t>) and course/curriculum design (</w:t>
                  </w:r>
                  <w:r w:rsidR="00C32563">
                    <w:rPr>
                      <w:rStyle w:val="Emphasis"/>
                    </w:rPr>
                    <w:t>methodological</w:t>
                  </w:r>
                  <w:r w:rsidR="00C32563">
                    <w:t>).</w:t>
                  </w:r>
                </w:p>
              </w:tc>
            </w:tr>
            <w:tr w:rsidR="00C32563" w:rsidTr="00C32563">
              <w:trPr>
                <w:tblCellSpacing w:w="15" w:type="dxa"/>
              </w:trPr>
              <w:tc>
                <w:tcPr>
                  <w:tcW w:w="0" w:type="auto"/>
                  <w:vAlign w:val="center"/>
                  <w:hideMark/>
                </w:tcPr>
                <w:p w:rsidR="00C32563" w:rsidRDefault="00C32563" w:rsidP="00C32563">
                  <w:proofErr w:type="spellStart"/>
                  <w:r>
                    <w:t>содержания</w:t>
                  </w:r>
                  <w:proofErr w:type="spellEnd"/>
                  <w:r>
                    <w:t xml:space="preserve"> учебного </w:t>
                  </w:r>
                  <w:proofErr w:type="spellStart"/>
                  <w:r>
                    <w:t>предмета</w:t>
                  </w:r>
                  <w:proofErr w:type="spellEnd"/>
                </w:p>
              </w:tc>
              <w:tc>
                <w:tcPr>
                  <w:tcW w:w="0" w:type="auto"/>
                  <w:vAlign w:val="center"/>
                  <w:hideMark/>
                </w:tcPr>
                <w:p w:rsidR="00C32563" w:rsidRDefault="00C32563" w:rsidP="00C32563">
                  <w:r>
                    <w:t>subject content / course content / educational subject matter</w:t>
                  </w:r>
                </w:p>
              </w:tc>
              <w:tc>
                <w:tcPr>
                  <w:tcW w:w="0" w:type="auto"/>
                  <w:vAlign w:val="center"/>
                  <w:hideMark/>
                </w:tcPr>
                <w:p w:rsidR="00C32563" w:rsidRDefault="00C32563" w:rsidP="00C32563">
                  <w:proofErr w:type="gramStart"/>
                  <w:r>
                    <w:rPr>
                      <w:rStyle w:val="Strong"/>
                    </w:rPr>
                    <w:t>course</w:t>
                  </w:r>
                  <w:proofErr w:type="gramEnd"/>
                  <w:r>
                    <w:rPr>
                      <w:rStyle w:val="Strong"/>
                    </w:rPr>
                    <w:t xml:space="preserve"> content</w:t>
                  </w:r>
                  <w:r>
                    <w:t xml:space="preserve"> – The most natural and common term in international higher education for the material taught in a class.</w:t>
                  </w:r>
                </w:p>
              </w:tc>
            </w:tr>
            <w:tr w:rsidR="00C32563" w:rsidTr="00C32563">
              <w:trPr>
                <w:tblCellSpacing w:w="15" w:type="dxa"/>
              </w:trPr>
              <w:tc>
                <w:tcPr>
                  <w:tcW w:w="0" w:type="auto"/>
                  <w:vAlign w:val="center"/>
                  <w:hideMark/>
                </w:tcPr>
                <w:p w:rsidR="00C32563" w:rsidRDefault="00C32563" w:rsidP="00C32563">
                  <w:r>
                    <w:lastRenderedPageBreak/>
                    <w:t>нормативно-правового регулирования</w:t>
                  </w:r>
                </w:p>
              </w:tc>
              <w:tc>
                <w:tcPr>
                  <w:tcW w:w="0" w:type="auto"/>
                  <w:vAlign w:val="center"/>
                  <w:hideMark/>
                </w:tcPr>
                <w:p w:rsidR="00C32563" w:rsidRDefault="00C32563" w:rsidP="00C32563">
                  <w:r>
                    <w:t>regulatory framework / legal and regulatory framework / normative-legal regulation</w:t>
                  </w:r>
                </w:p>
              </w:tc>
              <w:tc>
                <w:tcPr>
                  <w:tcW w:w="0" w:type="auto"/>
                  <w:vAlign w:val="center"/>
                  <w:hideMark/>
                </w:tcPr>
                <w:p w:rsidR="00C32563" w:rsidRDefault="00EE37FE" w:rsidP="00C32563">
                  <w:r>
                    <w:rPr>
                      <w:rStyle w:val="Strong"/>
                    </w:rPr>
                    <w:t>Regulatory</w:t>
                  </w:r>
                  <w:r w:rsidR="00C32563">
                    <w:rPr>
                      <w:rStyle w:val="Strong"/>
                    </w:rPr>
                    <w:t xml:space="preserve"> framework</w:t>
                  </w:r>
                  <w:r w:rsidR="00C32563">
                    <w:t xml:space="preserve"> – Standard term for the system of rules and laws governing an area. "Normative-legal" is a direct but less common calque in English.</w:t>
                  </w:r>
                </w:p>
              </w:tc>
            </w:tr>
            <w:tr w:rsidR="00C32563" w:rsidTr="00C32563">
              <w:trPr>
                <w:tblCellSpacing w:w="15" w:type="dxa"/>
              </w:trPr>
              <w:tc>
                <w:tcPr>
                  <w:tcW w:w="0" w:type="auto"/>
                  <w:vAlign w:val="center"/>
                  <w:hideMark/>
                </w:tcPr>
                <w:p w:rsidR="00C32563" w:rsidRDefault="00C32563" w:rsidP="00C32563">
                  <w:r>
                    <w:t>политики в сфере ООР</w:t>
                  </w:r>
                </w:p>
              </w:tc>
              <w:tc>
                <w:tcPr>
                  <w:tcW w:w="0" w:type="auto"/>
                  <w:vAlign w:val="center"/>
                  <w:hideMark/>
                </w:tcPr>
                <w:p w:rsidR="00C32563" w:rsidRDefault="00C32563" w:rsidP="00C32563">
                  <w:r>
                    <w:t>policy in the field of OER / OER policy / OER-related policies</w:t>
                  </w:r>
                </w:p>
              </w:tc>
              <w:tc>
                <w:tcPr>
                  <w:tcW w:w="0" w:type="auto"/>
                  <w:vAlign w:val="center"/>
                  <w:hideMark/>
                </w:tcPr>
                <w:p w:rsidR="00C32563" w:rsidRDefault="00EE37FE" w:rsidP="00C32563">
                  <w:r>
                    <w:rPr>
                      <w:rStyle w:val="Strong"/>
                    </w:rPr>
                    <w:t>Institutional</w:t>
                  </w:r>
                  <w:r w:rsidR="00C32563">
                    <w:rPr>
                      <w:rStyle w:val="Strong"/>
                    </w:rPr>
                    <w:t xml:space="preserve"> OER policy</w:t>
                  </w:r>
                  <w:r w:rsidR="00C32563">
                    <w:t xml:space="preserve"> – Specifies that the policy is at the university/organizational level, which is the clear meaning here.</w:t>
                  </w:r>
                </w:p>
              </w:tc>
            </w:tr>
            <w:tr w:rsidR="00C32563" w:rsidTr="00C32563">
              <w:trPr>
                <w:tblCellSpacing w:w="15" w:type="dxa"/>
              </w:trPr>
              <w:tc>
                <w:tcPr>
                  <w:tcW w:w="0" w:type="auto"/>
                  <w:vAlign w:val="center"/>
                  <w:hideMark/>
                </w:tcPr>
                <w:p w:rsidR="00C32563" w:rsidRDefault="00C32563" w:rsidP="00C32563">
                  <w:r>
                    <w:t>нормативно-правовой базе образования</w:t>
                  </w:r>
                </w:p>
              </w:tc>
              <w:tc>
                <w:tcPr>
                  <w:tcW w:w="0" w:type="auto"/>
                  <w:vAlign w:val="center"/>
                  <w:hideMark/>
                </w:tcPr>
                <w:p w:rsidR="00C32563" w:rsidRDefault="00C32563" w:rsidP="00C32563">
                  <w:r>
                    <w:t>educational legal and regulatory base / legal and regulatory framework of education / normative-legal foundation of education</w:t>
                  </w:r>
                </w:p>
              </w:tc>
              <w:tc>
                <w:tcPr>
                  <w:tcW w:w="0" w:type="auto"/>
                  <w:vAlign w:val="center"/>
                  <w:hideMark/>
                </w:tcPr>
                <w:p w:rsidR="00C32563" w:rsidRDefault="00EE37FE" w:rsidP="00C32563">
                  <w:r>
                    <w:rPr>
                      <w:rStyle w:val="Strong"/>
                    </w:rPr>
                    <w:t>Educational</w:t>
                  </w:r>
                  <w:r w:rsidR="00C32563">
                    <w:rPr>
                      <w:rStyle w:val="Strong"/>
                    </w:rPr>
                    <w:t xml:space="preserve"> legislation and policy</w:t>
                  </w:r>
                  <w:r w:rsidR="00C32563">
                    <w:t xml:space="preserve"> – A natural English phrasing that encompasses laws (</w:t>
                  </w:r>
                  <w:r w:rsidR="00C32563">
                    <w:rPr>
                      <w:rStyle w:val="Emphasis"/>
                    </w:rPr>
                    <w:t>legislation</w:t>
                  </w:r>
                  <w:r w:rsidR="00C32563">
                    <w:t>) and institutional rules (</w:t>
                  </w:r>
                  <w:r w:rsidR="00C32563">
                    <w:rPr>
                      <w:rStyle w:val="Emphasis"/>
                    </w:rPr>
                    <w:t>policy</w:t>
                  </w:r>
                  <w:r w:rsidR="00C32563">
                    <w:t>).</w:t>
                  </w:r>
                </w:p>
              </w:tc>
            </w:tr>
          </w:tbl>
          <w:p w:rsidR="00C32563" w:rsidRDefault="00C32563" w:rsidP="00C32563">
            <w:pPr>
              <w:pStyle w:val="Heading3"/>
            </w:pPr>
            <w:r>
              <w:t>Prompt 5 — Stage 2 (Final Translation)</w:t>
            </w:r>
          </w:p>
          <w:p w:rsidR="00C32563" w:rsidRDefault="00C32563" w:rsidP="00C32563">
            <w:pPr>
              <w:pStyle w:val="ds-markdown-paragraph"/>
            </w:pPr>
            <w:r>
              <w:rPr>
                <w:rStyle w:val="Strong"/>
              </w:rPr>
              <w:t>Translation using recommended terms:</w:t>
            </w:r>
          </w:p>
          <w:p w:rsidR="00C32563" w:rsidRDefault="00C32563" w:rsidP="00C32563">
            <w:pPr>
              <w:pStyle w:val="ds-markdown-paragraph"/>
            </w:pPr>
            <w:r>
              <w:t xml:space="preserve">During the global </w:t>
            </w:r>
            <w:r>
              <w:rPr>
                <w:rStyle w:val="Strong"/>
              </w:rPr>
              <w:t>forced transition</w:t>
            </w:r>
            <w:r>
              <w:t xml:space="preserve"> of universities to online learning, the demand for </w:t>
            </w:r>
            <w:r>
              <w:rPr>
                <w:rStyle w:val="Strong"/>
              </w:rPr>
              <w:t>open-access digital services</w:t>
            </w:r>
            <w:r>
              <w:t xml:space="preserve"> increased. This created a unique opportunity to enhance the </w:t>
            </w:r>
            <w:r>
              <w:rPr>
                <w:rStyle w:val="Strong"/>
              </w:rPr>
              <w:t>theoretical and methodological foundations</w:t>
            </w:r>
            <w:r>
              <w:t xml:space="preserve"> of online education by analyzing </w:t>
            </w:r>
            <w:r>
              <w:rPr>
                <w:rStyle w:val="Strong"/>
              </w:rPr>
              <w:t>empirical findings</w:t>
            </w:r>
            <w:r>
              <w:t xml:space="preserve"> on the relevance and effectiveness of specific elements within the </w:t>
            </w:r>
            <w:r>
              <w:rPr>
                <w:rStyle w:val="Strong"/>
              </w:rPr>
              <w:t>digital learning environment</w:t>
            </w:r>
            <w:r>
              <w:t>. Freely distributed educational materials online constitute one such element, unified under the concept of Open Educational Resources (OER).</w:t>
            </w:r>
          </w:p>
          <w:p w:rsidR="00C32563" w:rsidRDefault="00C32563" w:rsidP="00C32563">
            <w:pPr>
              <w:pStyle w:val="ds-markdown-paragraph"/>
            </w:pPr>
            <w:r>
              <w:t xml:space="preserve">This study aims to evaluate the relevance of OER for instructors, systematize primary methods of working with them, and identify motivations and barriers in OER development. Research conducted among faculty at Russian universities demonstrated the high importance of OER for their </w:t>
            </w:r>
            <w:r>
              <w:rPr>
                <w:rStyle w:val="Strong"/>
              </w:rPr>
              <w:t>instructional and methodological work</w:t>
            </w:r>
            <w:r>
              <w:t xml:space="preserve"> in developing </w:t>
            </w:r>
            <w:r>
              <w:rPr>
                <w:rStyle w:val="Strong"/>
              </w:rPr>
              <w:t>course content</w:t>
            </w:r>
            <w:r>
              <w:t xml:space="preserve"> digitally. Over half of the instructors create and share their own materials online for student convenience. Instructors and students actively exchange materials using various web services. Amid the rapid shift to online learning and growing demands on educators and content, OER have become a valuable resource.</w:t>
            </w:r>
          </w:p>
          <w:p w:rsidR="00C32563" w:rsidRDefault="00C32563" w:rsidP="00C32563">
            <w:pPr>
              <w:pStyle w:val="ds-markdown-paragraph"/>
            </w:pPr>
            <w:r>
              <w:t xml:space="preserve">An analysis of the </w:t>
            </w:r>
            <w:r>
              <w:rPr>
                <w:rStyle w:val="Strong"/>
              </w:rPr>
              <w:t>regulatory framework</w:t>
            </w:r>
            <w:r>
              <w:t xml:space="preserve"> revealed a lack of a formal </w:t>
            </w:r>
            <w:r>
              <w:rPr>
                <w:rStyle w:val="Strong"/>
              </w:rPr>
              <w:t>institutional OER policy</w:t>
            </w:r>
            <w:r>
              <w:t xml:space="preserve">, which is a significant barrier to creation. Based on the findings, recommendations are proposed: formally integrate the OER concept into </w:t>
            </w:r>
            <w:r>
              <w:rPr>
                <w:rStyle w:val="Strong"/>
              </w:rPr>
              <w:t>educational legislation and policy</w:t>
            </w:r>
            <w:r>
              <w:t>; provide instructors with methodological and legal support for creating and using OER; and conduct an awareness campaign to promote the benefits of OER in higher education.</w:t>
            </w:r>
          </w:p>
          <w:p w:rsidR="00C32563" w:rsidRDefault="00C32563" w:rsidP="00C32563">
            <w:pPr>
              <w:tabs>
                <w:tab w:val="left" w:pos="5100"/>
              </w:tabs>
              <w:jc w:val="center"/>
              <w:rPr>
                <w:b w:val="0"/>
                <w:bCs w:val="0"/>
              </w:rPr>
            </w:pPr>
          </w:p>
        </w:tc>
      </w:tr>
    </w:tbl>
    <w:p w:rsidR="00C32563" w:rsidRDefault="00C32563" w:rsidP="003751A3">
      <w:pPr>
        <w:tabs>
          <w:tab w:val="left" w:pos="5100"/>
        </w:tabs>
        <w:rPr>
          <w:b/>
          <w:bCs/>
        </w:rPr>
      </w:pPr>
    </w:p>
    <w:tbl>
      <w:tblPr>
        <w:tblStyle w:val="TableGrid"/>
        <w:tblW w:w="0" w:type="auto"/>
        <w:tblLook w:val="04A0" w:firstRow="1" w:lastRow="0" w:firstColumn="1" w:lastColumn="0" w:noHBand="0" w:noVBand="1"/>
      </w:tblPr>
      <w:tblGrid>
        <w:gridCol w:w="9350"/>
      </w:tblGrid>
      <w:tr w:rsidR="00771B49" w:rsidTr="00771B49">
        <w:tc>
          <w:tcPr>
            <w:tcW w:w="9350" w:type="dxa"/>
            <w:vAlign w:val="center"/>
          </w:tcPr>
          <w:p w:rsidR="00771B49" w:rsidRDefault="00771B49" w:rsidP="00771B49">
            <w:pPr>
              <w:tabs>
                <w:tab w:val="left" w:pos="5100"/>
              </w:tabs>
              <w:jc w:val="center"/>
              <w:rPr>
                <w:b/>
                <w:bCs/>
              </w:rPr>
            </w:pPr>
            <w:r>
              <w:rPr>
                <w:b/>
                <w:bCs/>
              </w:rPr>
              <w:lastRenderedPageBreak/>
              <w:t>ChatGPT (5.2)</w:t>
            </w:r>
          </w:p>
        </w:tc>
      </w:tr>
      <w:tr w:rsidR="00771B49" w:rsidTr="00771B49">
        <w:tc>
          <w:tcPr>
            <w:tcW w:w="9350" w:type="dxa"/>
            <w:vAlign w:val="center"/>
          </w:tcPr>
          <w:p w:rsidR="000309D8" w:rsidRPr="000309D8" w:rsidRDefault="000309D8" w:rsidP="000309D8">
            <w:pPr>
              <w:pStyle w:val="Heading1"/>
              <w:outlineLvl w:val="0"/>
              <w:rPr>
                <w:kern w:val="0"/>
                <w:sz w:val="24"/>
                <w:szCs w:val="24"/>
              </w:rPr>
            </w:pPr>
            <w:r w:rsidRPr="000309D8">
              <w:rPr>
                <w:kern w:val="0"/>
                <w:sz w:val="24"/>
                <w:szCs w:val="24"/>
              </w:rPr>
              <w:t>Prompt 5 — Terminology Table and Final Translation</w:t>
            </w:r>
          </w:p>
          <w:p w:rsidR="000309D8" w:rsidRDefault="000309D8" w:rsidP="000309D8">
            <w:pPr>
              <w:pStyle w:val="Heading2"/>
              <w:outlineLvl w:val="1"/>
            </w:pPr>
            <w:r>
              <w:t>Stage 1: Table of Ambiguous / Technical Terms</w:t>
            </w:r>
          </w:p>
          <w:tbl>
            <w:tblPr>
              <w:tblW w:w="0" w:type="auto"/>
              <w:tblLook w:val="04A0" w:firstRow="1" w:lastRow="0" w:firstColumn="1" w:lastColumn="0" w:noHBand="0" w:noVBand="1"/>
            </w:tblPr>
            <w:tblGrid>
              <w:gridCol w:w="2880"/>
              <w:gridCol w:w="2880"/>
              <w:gridCol w:w="2880"/>
            </w:tblGrid>
            <w:tr w:rsidR="000309D8" w:rsidTr="00B92E21">
              <w:tc>
                <w:tcPr>
                  <w:tcW w:w="2880" w:type="dxa"/>
                </w:tcPr>
                <w:p w:rsidR="000309D8" w:rsidRDefault="000309D8" w:rsidP="000309D8">
                  <w:r>
                    <w:t>RU phrase</w:t>
                  </w:r>
                </w:p>
              </w:tc>
              <w:tc>
                <w:tcPr>
                  <w:tcW w:w="2880" w:type="dxa"/>
                </w:tcPr>
                <w:p w:rsidR="000309D8" w:rsidRDefault="000309D8" w:rsidP="000309D8">
                  <w:r>
                    <w:t>2–3 EN options</w:t>
                  </w:r>
                </w:p>
              </w:tc>
              <w:tc>
                <w:tcPr>
                  <w:tcW w:w="2880" w:type="dxa"/>
                </w:tcPr>
                <w:p w:rsidR="000309D8" w:rsidRDefault="000309D8" w:rsidP="000309D8">
                  <w:r>
                    <w:t>Recommended EN + short reason</w:t>
                  </w:r>
                </w:p>
              </w:tc>
            </w:tr>
            <w:tr w:rsidR="000309D8" w:rsidTr="00B92E21">
              <w:tc>
                <w:tcPr>
                  <w:tcW w:w="2880" w:type="dxa"/>
                </w:tcPr>
                <w:p w:rsidR="000309D8" w:rsidRDefault="000309D8" w:rsidP="000309D8">
                  <w:proofErr w:type="spellStart"/>
                  <w:r>
                    <w:t>вынужденный</w:t>
                  </w:r>
                  <w:proofErr w:type="spellEnd"/>
                  <w:r>
                    <w:t xml:space="preserve"> </w:t>
                  </w:r>
                  <w:proofErr w:type="spellStart"/>
                  <w:r>
                    <w:t>переход</w:t>
                  </w:r>
                  <w:proofErr w:type="spellEnd"/>
                </w:p>
              </w:tc>
              <w:tc>
                <w:tcPr>
                  <w:tcW w:w="2880" w:type="dxa"/>
                </w:tcPr>
                <w:p w:rsidR="000309D8" w:rsidRDefault="000309D8" w:rsidP="000309D8">
                  <w:r>
                    <w:t>forced transition / compulsory shift / emergency transition</w:t>
                  </w:r>
                </w:p>
              </w:tc>
              <w:tc>
                <w:tcPr>
                  <w:tcW w:w="2880" w:type="dxa"/>
                </w:tcPr>
                <w:p w:rsidR="000309D8" w:rsidRDefault="000309D8" w:rsidP="000309D8">
                  <w:r>
                    <w:t>forced transition — standard academic phrasing</w:t>
                  </w:r>
                </w:p>
              </w:tc>
            </w:tr>
            <w:tr w:rsidR="000309D8" w:rsidTr="00B92E21">
              <w:tc>
                <w:tcPr>
                  <w:tcW w:w="2880" w:type="dxa"/>
                </w:tcPr>
                <w:p w:rsidR="000309D8" w:rsidRDefault="000309D8" w:rsidP="000309D8">
                  <w:r>
                    <w:t>онлайн-</w:t>
                  </w:r>
                  <w:proofErr w:type="spellStart"/>
                  <w:r>
                    <w:t>обучение</w:t>
                  </w:r>
                  <w:proofErr w:type="spellEnd"/>
                </w:p>
              </w:tc>
              <w:tc>
                <w:tcPr>
                  <w:tcW w:w="2880" w:type="dxa"/>
                </w:tcPr>
                <w:p w:rsidR="000309D8" w:rsidRDefault="000309D8" w:rsidP="000309D8">
                  <w:r>
                    <w:t>online learning / e-learning / distance learning</w:t>
                  </w:r>
                </w:p>
              </w:tc>
              <w:tc>
                <w:tcPr>
                  <w:tcW w:w="2880" w:type="dxa"/>
                </w:tcPr>
                <w:p w:rsidR="000309D8" w:rsidRDefault="000309D8" w:rsidP="000309D8">
                  <w:r>
                    <w:t>online learning — neutral and widely accepted</w:t>
                  </w:r>
                </w:p>
              </w:tc>
            </w:tr>
            <w:tr w:rsidR="000309D8" w:rsidTr="00B92E21">
              <w:tc>
                <w:tcPr>
                  <w:tcW w:w="2880" w:type="dxa"/>
                </w:tcPr>
                <w:p w:rsidR="000309D8" w:rsidRDefault="000309D8" w:rsidP="000309D8">
                  <w:proofErr w:type="spellStart"/>
                  <w:r>
                    <w:t>цифровые</w:t>
                  </w:r>
                  <w:proofErr w:type="spellEnd"/>
                  <w:r>
                    <w:t xml:space="preserve"> </w:t>
                  </w:r>
                  <w:proofErr w:type="spellStart"/>
                  <w:r>
                    <w:t>сервисы</w:t>
                  </w:r>
                  <w:proofErr w:type="spellEnd"/>
                  <w:r>
                    <w:t xml:space="preserve"> </w:t>
                  </w:r>
                  <w:proofErr w:type="spellStart"/>
                  <w:r>
                    <w:t>свободного</w:t>
                  </w:r>
                  <w:proofErr w:type="spellEnd"/>
                  <w:r>
                    <w:t xml:space="preserve"> доступа</w:t>
                  </w:r>
                </w:p>
              </w:tc>
              <w:tc>
                <w:tcPr>
                  <w:tcW w:w="2880" w:type="dxa"/>
                </w:tcPr>
                <w:p w:rsidR="000309D8" w:rsidRDefault="000309D8" w:rsidP="000309D8">
                  <w:r>
                    <w:t>open-access digital services / freely accessible digital services</w:t>
                  </w:r>
                </w:p>
              </w:tc>
              <w:tc>
                <w:tcPr>
                  <w:tcW w:w="2880" w:type="dxa"/>
                </w:tcPr>
                <w:p w:rsidR="000309D8" w:rsidRDefault="000309D8" w:rsidP="000309D8">
                  <w:r>
                    <w:t>open-access digital services — aligns with OER discourse</w:t>
                  </w:r>
                </w:p>
              </w:tc>
            </w:tr>
            <w:tr w:rsidR="000309D8" w:rsidTr="00B92E21">
              <w:tc>
                <w:tcPr>
                  <w:tcW w:w="2880" w:type="dxa"/>
                </w:tcPr>
                <w:p w:rsidR="000309D8" w:rsidRDefault="000309D8" w:rsidP="000309D8">
                  <w:proofErr w:type="spellStart"/>
                  <w:r>
                    <w:t>цифровая</w:t>
                  </w:r>
                  <w:proofErr w:type="spellEnd"/>
                  <w:r>
                    <w:t xml:space="preserve"> </w:t>
                  </w:r>
                  <w:proofErr w:type="spellStart"/>
                  <w:r>
                    <w:t>среда</w:t>
                  </w:r>
                  <w:proofErr w:type="spellEnd"/>
                </w:p>
              </w:tc>
              <w:tc>
                <w:tcPr>
                  <w:tcW w:w="2880" w:type="dxa"/>
                </w:tcPr>
                <w:p w:rsidR="000309D8" w:rsidRDefault="000309D8" w:rsidP="000309D8">
                  <w:r>
                    <w:t>digital environment / digital ecosystem / online environment</w:t>
                  </w:r>
                </w:p>
              </w:tc>
              <w:tc>
                <w:tcPr>
                  <w:tcW w:w="2880" w:type="dxa"/>
                </w:tcPr>
                <w:p w:rsidR="000309D8" w:rsidRDefault="000309D8" w:rsidP="000309D8">
                  <w:r>
                    <w:t>digital learning environment — context-specific</w:t>
                  </w:r>
                </w:p>
              </w:tc>
            </w:tr>
            <w:tr w:rsidR="000309D8" w:rsidTr="00B92E21">
              <w:tc>
                <w:tcPr>
                  <w:tcW w:w="2880" w:type="dxa"/>
                </w:tcPr>
                <w:p w:rsidR="000309D8" w:rsidRDefault="000309D8" w:rsidP="000309D8">
                  <w:r>
                    <w:t xml:space="preserve">теоретические и </w:t>
                  </w:r>
                  <w:proofErr w:type="spellStart"/>
                  <w:r>
                    <w:t>методологические</w:t>
                  </w:r>
                  <w:proofErr w:type="spellEnd"/>
                  <w:r>
                    <w:t xml:space="preserve"> положения</w:t>
                  </w:r>
                </w:p>
              </w:tc>
              <w:tc>
                <w:tcPr>
                  <w:tcW w:w="2880" w:type="dxa"/>
                </w:tcPr>
                <w:p w:rsidR="000309D8" w:rsidRDefault="000309D8" w:rsidP="000309D8">
                  <w:r>
                    <w:t>theoretical and methodological foundations / principles</w:t>
                  </w:r>
                </w:p>
              </w:tc>
              <w:tc>
                <w:tcPr>
                  <w:tcW w:w="2880" w:type="dxa"/>
                </w:tcPr>
                <w:p w:rsidR="000309D8" w:rsidRDefault="000309D8" w:rsidP="000309D8">
                  <w:r>
                    <w:t>theoretical and methodological foundations — formal academic use</w:t>
                  </w:r>
                </w:p>
              </w:tc>
            </w:tr>
            <w:tr w:rsidR="000309D8" w:rsidTr="00B92E21">
              <w:tc>
                <w:tcPr>
                  <w:tcW w:w="2880" w:type="dxa"/>
                </w:tcPr>
                <w:p w:rsidR="000309D8" w:rsidRDefault="000309D8" w:rsidP="000309D8">
                  <w:proofErr w:type="spellStart"/>
                  <w:r>
                    <w:t>эмпирические</w:t>
                  </w:r>
                  <w:proofErr w:type="spellEnd"/>
                  <w:r>
                    <w:t xml:space="preserve"> результаты</w:t>
                  </w:r>
                </w:p>
              </w:tc>
              <w:tc>
                <w:tcPr>
                  <w:tcW w:w="2880" w:type="dxa"/>
                </w:tcPr>
                <w:p w:rsidR="000309D8" w:rsidRDefault="000309D8" w:rsidP="000309D8">
                  <w:r>
                    <w:t>empirical results / empirical findings / evidence</w:t>
                  </w:r>
                </w:p>
              </w:tc>
              <w:tc>
                <w:tcPr>
                  <w:tcW w:w="2880" w:type="dxa"/>
                </w:tcPr>
                <w:p w:rsidR="000309D8" w:rsidRDefault="000309D8" w:rsidP="000309D8">
                  <w:r>
                    <w:t>empirical results — concise and standard</w:t>
                  </w:r>
                </w:p>
              </w:tc>
            </w:tr>
            <w:tr w:rsidR="000309D8" w:rsidTr="00B92E21">
              <w:tc>
                <w:tcPr>
                  <w:tcW w:w="2880" w:type="dxa"/>
                </w:tcPr>
                <w:p w:rsidR="000309D8" w:rsidRDefault="000309D8" w:rsidP="000309D8">
                  <w:proofErr w:type="spellStart"/>
                  <w:r>
                    <w:t>свободно</w:t>
                  </w:r>
                  <w:proofErr w:type="spellEnd"/>
                  <w:r>
                    <w:t xml:space="preserve"> распространяемые образовательные материалы</w:t>
                  </w:r>
                </w:p>
              </w:tc>
              <w:tc>
                <w:tcPr>
                  <w:tcW w:w="2880" w:type="dxa"/>
                </w:tcPr>
                <w:p w:rsidR="000309D8" w:rsidRDefault="000309D8" w:rsidP="000309D8">
                  <w:r>
                    <w:t>freely distributed educational materials / open-access materials</w:t>
                  </w:r>
                </w:p>
              </w:tc>
              <w:tc>
                <w:tcPr>
                  <w:tcW w:w="2880" w:type="dxa"/>
                </w:tcPr>
                <w:p w:rsidR="000309D8" w:rsidRDefault="000309D8" w:rsidP="000309D8">
                  <w:r>
                    <w:t>freely distributed educational materials — accurate</w:t>
                  </w:r>
                </w:p>
              </w:tc>
            </w:tr>
            <w:tr w:rsidR="000309D8" w:rsidTr="00B92E21">
              <w:tc>
                <w:tcPr>
                  <w:tcW w:w="2880" w:type="dxa"/>
                </w:tcPr>
                <w:p w:rsidR="000309D8" w:rsidRDefault="000309D8" w:rsidP="000309D8">
                  <w:r>
                    <w:t>открытые образовательные ресурсы (ООР)</w:t>
                  </w:r>
                </w:p>
              </w:tc>
              <w:tc>
                <w:tcPr>
                  <w:tcW w:w="2880" w:type="dxa"/>
                </w:tcPr>
                <w:p w:rsidR="000309D8" w:rsidRDefault="000309D8" w:rsidP="000309D8">
                  <w:r>
                    <w:t>open educational resources / open learning resources</w:t>
                  </w:r>
                </w:p>
              </w:tc>
              <w:tc>
                <w:tcPr>
                  <w:tcW w:w="2880" w:type="dxa"/>
                </w:tcPr>
                <w:p w:rsidR="000309D8" w:rsidRDefault="000309D8" w:rsidP="000309D8">
                  <w:r>
                    <w:t>Open Educational Resources (OER) — established term</w:t>
                  </w:r>
                </w:p>
              </w:tc>
            </w:tr>
            <w:tr w:rsidR="000309D8" w:rsidTr="00B92E21">
              <w:tc>
                <w:tcPr>
                  <w:tcW w:w="2880" w:type="dxa"/>
                </w:tcPr>
                <w:p w:rsidR="000309D8" w:rsidRDefault="000309D8" w:rsidP="000309D8">
                  <w:proofErr w:type="spellStart"/>
                  <w:r>
                    <w:t>учебно-методическая</w:t>
                  </w:r>
                  <w:proofErr w:type="spellEnd"/>
                  <w:r>
                    <w:t xml:space="preserve"> </w:t>
                  </w:r>
                  <w:proofErr w:type="spellStart"/>
                  <w:r>
                    <w:t>деятельность</w:t>
                  </w:r>
                  <w:proofErr w:type="spellEnd"/>
                </w:p>
              </w:tc>
              <w:tc>
                <w:tcPr>
                  <w:tcW w:w="2880" w:type="dxa"/>
                </w:tcPr>
                <w:p w:rsidR="000309D8" w:rsidRDefault="000309D8" w:rsidP="000309D8">
                  <w:r>
                    <w:t>teaching and methodological activities / instructional work</w:t>
                  </w:r>
                </w:p>
              </w:tc>
              <w:tc>
                <w:tcPr>
                  <w:tcW w:w="2880" w:type="dxa"/>
                </w:tcPr>
                <w:p w:rsidR="000309D8" w:rsidRDefault="000309D8" w:rsidP="000309D8">
                  <w:r>
                    <w:t>teaching and methodological activities — standard</w:t>
                  </w:r>
                </w:p>
              </w:tc>
            </w:tr>
            <w:tr w:rsidR="000309D8" w:rsidTr="00B92E21">
              <w:tc>
                <w:tcPr>
                  <w:tcW w:w="2880" w:type="dxa"/>
                </w:tcPr>
                <w:p w:rsidR="000309D8" w:rsidRDefault="000309D8" w:rsidP="000309D8">
                  <w:proofErr w:type="spellStart"/>
                  <w:r>
                    <w:t>нормативно-правовое</w:t>
                  </w:r>
                  <w:proofErr w:type="spellEnd"/>
                  <w:r>
                    <w:t xml:space="preserve"> </w:t>
                  </w:r>
                  <w:proofErr w:type="spellStart"/>
                  <w:r>
                    <w:t>регулирование</w:t>
                  </w:r>
                  <w:proofErr w:type="spellEnd"/>
                </w:p>
              </w:tc>
              <w:tc>
                <w:tcPr>
                  <w:tcW w:w="2880" w:type="dxa"/>
                </w:tcPr>
                <w:p w:rsidR="000309D8" w:rsidRDefault="000309D8" w:rsidP="000309D8">
                  <w:r>
                    <w:t>regulatory and legal framework / policy framework</w:t>
                  </w:r>
                </w:p>
              </w:tc>
              <w:tc>
                <w:tcPr>
                  <w:tcW w:w="2880" w:type="dxa"/>
                </w:tcPr>
                <w:p w:rsidR="000309D8" w:rsidRDefault="000309D8" w:rsidP="000309D8">
                  <w:r>
                    <w:t>regulatory and legal framework — precise</w:t>
                  </w:r>
                </w:p>
              </w:tc>
            </w:tr>
            <w:tr w:rsidR="000309D8" w:rsidTr="00B92E21">
              <w:tc>
                <w:tcPr>
                  <w:tcW w:w="2880" w:type="dxa"/>
                </w:tcPr>
                <w:p w:rsidR="000309D8" w:rsidRDefault="000309D8" w:rsidP="000309D8">
                  <w:r>
                    <w:lastRenderedPageBreak/>
                    <w:t>закрепить понятие</w:t>
                  </w:r>
                </w:p>
              </w:tc>
              <w:tc>
                <w:tcPr>
                  <w:tcW w:w="2880" w:type="dxa"/>
                </w:tcPr>
                <w:p w:rsidR="000309D8" w:rsidRDefault="000309D8" w:rsidP="000309D8">
                  <w:r>
                    <w:t>formalize the concept / institutionalize the concept</w:t>
                  </w:r>
                </w:p>
              </w:tc>
              <w:tc>
                <w:tcPr>
                  <w:tcW w:w="2880" w:type="dxa"/>
                </w:tcPr>
                <w:p w:rsidR="000309D8" w:rsidRDefault="000309D8" w:rsidP="000309D8">
                  <w:r>
                    <w:t>formalize the concept — common in policy texts</w:t>
                  </w:r>
                </w:p>
              </w:tc>
            </w:tr>
            <w:tr w:rsidR="000309D8" w:rsidTr="00B92E21">
              <w:tc>
                <w:tcPr>
                  <w:tcW w:w="2880" w:type="dxa"/>
                </w:tcPr>
                <w:p w:rsidR="000309D8" w:rsidRDefault="000309D8" w:rsidP="000309D8">
                  <w:proofErr w:type="spellStart"/>
                  <w:r>
                    <w:t>информационная</w:t>
                  </w:r>
                  <w:proofErr w:type="spellEnd"/>
                  <w:r>
                    <w:t xml:space="preserve"> </w:t>
                  </w:r>
                  <w:proofErr w:type="spellStart"/>
                  <w:r>
                    <w:t>кампания</w:t>
                  </w:r>
                  <w:proofErr w:type="spellEnd"/>
                </w:p>
              </w:tc>
              <w:tc>
                <w:tcPr>
                  <w:tcW w:w="2880" w:type="dxa"/>
                </w:tcPr>
                <w:p w:rsidR="000309D8" w:rsidRDefault="000309D8" w:rsidP="000309D8">
                  <w:r>
                    <w:t>informational campaign / awareness campaign</w:t>
                  </w:r>
                </w:p>
              </w:tc>
              <w:tc>
                <w:tcPr>
                  <w:tcW w:w="2880" w:type="dxa"/>
                </w:tcPr>
                <w:p w:rsidR="000309D8" w:rsidRDefault="000309D8" w:rsidP="000309D8">
                  <w:r>
                    <w:t>informational campaign — neutral academic wording</w:t>
                  </w:r>
                </w:p>
              </w:tc>
            </w:tr>
          </w:tbl>
          <w:p w:rsidR="000309D8" w:rsidRDefault="000309D8" w:rsidP="000309D8">
            <w:pPr>
              <w:pStyle w:val="Heading2"/>
              <w:outlineLvl w:val="1"/>
            </w:pPr>
            <w:r>
              <w:t>Stage 2: Final Academic Translation</w:t>
            </w:r>
          </w:p>
          <w:p w:rsidR="000309D8" w:rsidRDefault="000309D8" w:rsidP="000309D8">
            <w:r>
              <w:t>During the period of the forced transition of universities worldwide to online learning, the demand for open-access digital services increased significantly. This situation created a unique opportunity to expand and further develop the theoretical and methodological foundations of online learning through the analysis of empirical results reflecting the relevance and effectiveness of individual elements of the digital learning environment. Freely distributed educational materials available on the Internet constitute an integral part of this environment and are collectively referred to as Open Educational Resources (OER).</w:t>
            </w:r>
            <w:r>
              <w:br/>
            </w:r>
            <w:r>
              <w:br/>
              <w:t>The aim of this study was to assess the relevance of OER for instructors, provide a systematization of key practices for working with them, and identify the motivations and barriers associated with OER development. An empirical study conducted among instructors at Russian higher education institutions demonstrated the high importance and value of OER for their teaching and methodological activities related to the creation and development of course content in a digital learning environment. More than half of the instructors create and disseminate original educational materials online for the convenience of their students. Instructors and students actively exchange learning materials using a variety of web-based services.</w:t>
            </w:r>
            <w:r>
              <w:br/>
            </w:r>
            <w:r>
              <w:br/>
              <w:t>Under conditions of a rapid shift from face-to-face to online instruction and increasing demands on instructors and educational content, OER have become a valuable resource for educational practice. An analysis of the regulatory and legal framework revealed the absence of institutional policy in the field of OER in Russian universities, which constitutes a significant barrier to OER development. Based on the findings, the study proposes recommendations for advancing OER in higher education, including formalizing the concept of OER within educational regulations, providing methodological and legal support for instructors, and conducting an informational campaign to highlight the prospects and advantages of OER use in higher education.</w:t>
            </w:r>
          </w:p>
          <w:p w:rsidR="00771B49" w:rsidRDefault="00771B49" w:rsidP="00771B49">
            <w:pPr>
              <w:tabs>
                <w:tab w:val="left" w:pos="5100"/>
              </w:tabs>
              <w:rPr>
                <w:b/>
                <w:bCs/>
              </w:rPr>
            </w:pPr>
          </w:p>
        </w:tc>
      </w:tr>
    </w:tbl>
    <w:p w:rsidR="00771B49" w:rsidRDefault="00771B49" w:rsidP="003751A3">
      <w:pPr>
        <w:tabs>
          <w:tab w:val="left" w:pos="5100"/>
        </w:tabs>
        <w:rPr>
          <w:b/>
          <w:bCs/>
        </w:rPr>
      </w:pPr>
    </w:p>
    <w:p w:rsidR="007D4D96" w:rsidRDefault="007D4D96" w:rsidP="003751A3">
      <w:pPr>
        <w:tabs>
          <w:tab w:val="left" w:pos="5100"/>
        </w:tabs>
        <w:rPr>
          <w:b/>
          <w:bCs/>
        </w:rPr>
      </w:pPr>
    </w:p>
    <w:p w:rsidR="00AF66DB" w:rsidRDefault="00AF66DB" w:rsidP="003751A3">
      <w:pPr>
        <w:tabs>
          <w:tab w:val="left" w:pos="5100"/>
        </w:tabs>
        <w:rPr>
          <w:b/>
          <w:bCs/>
        </w:rPr>
      </w:pPr>
    </w:p>
    <w:p w:rsidR="00AF66DB" w:rsidRDefault="00AF66DB" w:rsidP="003751A3">
      <w:pPr>
        <w:tabs>
          <w:tab w:val="left" w:pos="5100"/>
        </w:tabs>
        <w:rPr>
          <w:b/>
          <w:bCs/>
        </w:rPr>
      </w:pPr>
    </w:p>
    <w:p w:rsidR="00AF66DB" w:rsidRPr="00A54ECF" w:rsidRDefault="00AF66DB" w:rsidP="003751A3">
      <w:pPr>
        <w:tabs>
          <w:tab w:val="left" w:pos="5100"/>
        </w:tabs>
        <w:rPr>
          <w:b/>
          <w:bCs/>
        </w:rPr>
      </w:pPr>
    </w:p>
    <w:p w:rsidR="00AF66DB" w:rsidRPr="00AF66DB" w:rsidRDefault="00771B49" w:rsidP="00AF66DB">
      <w:pPr>
        <w:rPr>
          <w:b/>
          <w:bCs/>
        </w:rPr>
      </w:pPr>
      <w:r w:rsidRPr="00AF66DB">
        <w:rPr>
          <w:b/>
          <w:bCs/>
        </w:rPr>
        <w:lastRenderedPageBreak/>
        <w:t xml:space="preserve">Prompt </w:t>
      </w:r>
      <w:r w:rsidR="000309D8" w:rsidRPr="00AF66DB">
        <w:rPr>
          <w:b/>
          <w:bCs/>
        </w:rPr>
        <w:t xml:space="preserve">6: </w:t>
      </w:r>
      <w:r w:rsidR="00AF66DB" w:rsidRPr="00AF66DB">
        <w:rPr>
          <w:b/>
          <w:bCs/>
        </w:rPr>
        <w:t>Prompt 6 (journal-quality):</w:t>
      </w:r>
    </w:p>
    <w:p w:rsidR="008E07D5" w:rsidRDefault="00AF66DB" w:rsidP="00AF66DB">
      <w:r>
        <w:t>Translate this Russian abstract into journal-quality English. Use “Open Educational Resources (OER)”. Avoid literal translation, keep meaning, academic tone, and clear flow. Output only the English translation</w:t>
      </w:r>
      <w:r>
        <w:t>.</w:t>
      </w:r>
    </w:p>
    <w:tbl>
      <w:tblPr>
        <w:tblStyle w:val="TableGrid"/>
        <w:tblW w:w="0" w:type="auto"/>
        <w:tblLook w:val="04A0" w:firstRow="1" w:lastRow="0" w:firstColumn="1" w:lastColumn="0" w:noHBand="0" w:noVBand="1"/>
      </w:tblPr>
      <w:tblGrid>
        <w:gridCol w:w="4675"/>
        <w:gridCol w:w="4675"/>
      </w:tblGrid>
      <w:tr w:rsidR="00AF66DB" w:rsidTr="00AF66DB">
        <w:tc>
          <w:tcPr>
            <w:tcW w:w="4675" w:type="dxa"/>
            <w:vAlign w:val="center"/>
          </w:tcPr>
          <w:p w:rsidR="00AF66DB" w:rsidRPr="00AF66DB" w:rsidRDefault="00AF66DB" w:rsidP="00AF66DB">
            <w:pPr>
              <w:jc w:val="center"/>
              <w:rPr>
                <w:b/>
                <w:bCs/>
              </w:rPr>
            </w:pPr>
            <w:r w:rsidRPr="00AF66DB">
              <w:rPr>
                <w:b/>
                <w:bCs/>
              </w:rPr>
              <w:t>ChatGPT (5.2)</w:t>
            </w:r>
          </w:p>
        </w:tc>
        <w:tc>
          <w:tcPr>
            <w:tcW w:w="4675" w:type="dxa"/>
            <w:vAlign w:val="center"/>
          </w:tcPr>
          <w:p w:rsidR="00AF66DB" w:rsidRPr="00AF66DB" w:rsidRDefault="00AF66DB" w:rsidP="00AF66DB">
            <w:pPr>
              <w:jc w:val="center"/>
              <w:rPr>
                <w:b/>
                <w:bCs/>
              </w:rPr>
            </w:pPr>
            <w:r w:rsidRPr="00AF66DB">
              <w:rPr>
                <w:b/>
                <w:bCs/>
              </w:rPr>
              <w:t>DeepSeek(3.2)</w:t>
            </w:r>
          </w:p>
        </w:tc>
      </w:tr>
      <w:tr w:rsidR="00AF66DB" w:rsidTr="00AF66DB">
        <w:tc>
          <w:tcPr>
            <w:tcW w:w="4675" w:type="dxa"/>
          </w:tcPr>
          <w:p w:rsidR="00AF66DB" w:rsidRDefault="00AF66DB" w:rsidP="00AF66DB">
            <w:r>
              <w:t>During the period of the forced global transition of universities to online learning, demand for open-access digital services increased markedly. This shift created a unique opportunity to expand and refine the theoretical and methodological foundations of online education through the analysis of empirical evidence that reflects the relevance and effectiveness of specific components of the digital learning environment. Freely available educational materials distributed online constitute an integral part of this environment and are collectively referred to as Open Educational Resources (OER).</w:t>
            </w:r>
          </w:p>
          <w:p w:rsidR="00AF66DB" w:rsidRDefault="00AF66DB" w:rsidP="00AF66DB"/>
          <w:p w:rsidR="00AF66DB" w:rsidRDefault="00AF66DB" w:rsidP="00AF66DB">
            <w:r>
              <w:t>The aim of this study was to assess the relevance of OER for instructors, systematize key approaches to their use, and identify the motivations and barriers associated with OER development. An empirical study conducted among instructors at Russian higher education institutions demonstrated the high importance and value of OER for teaching and methodological activities related to the creation and development of course content in digital environments. More than half of the instructors reported creating and sharing original educational materials online for the benefit of their students, while instructors and students actively exchanged learning resources using a variety of web-based services.</w:t>
            </w:r>
          </w:p>
          <w:p w:rsidR="00AF66DB" w:rsidRDefault="00AF66DB" w:rsidP="00AF66DB"/>
          <w:p w:rsidR="00AF66DB" w:rsidRDefault="00AF66DB" w:rsidP="00AF66DB">
            <w:r>
              <w:lastRenderedPageBreak/>
              <w:t>Under conditions of a rapid shift from face-to-face to online instruction and increasing demands on instructors and educational content, OER have emerged as a valuable resource for educational practice. An analysis of the regulatory and legal framework revealed the absence of institutional OER policies in Russian universities, which represents a significant barrier to OER development. Based on these findings, the study proposes recommendations for advancing OER in higher education, including formalizing the concept of OER within educational regulations, providing methodological and legal support for instructors, and conducting informational initiatives to highlight the benefits and future potential of OER use in higher education.</w:t>
            </w:r>
          </w:p>
        </w:tc>
        <w:tc>
          <w:tcPr>
            <w:tcW w:w="4675" w:type="dxa"/>
          </w:tcPr>
          <w:p w:rsidR="00AF66DB" w:rsidRDefault="00AF66DB" w:rsidP="00AF66DB">
            <w:r>
              <w:lastRenderedPageBreak/>
              <w:t xml:space="preserve">The global shift to online learning necessitated by recent disruptions has accelerated demand for open-access digital services. This shift provides a critical opportunity to advance the theoretical and methodological foundations of online pedagogy through empirical analysis of the utility and efficacy of specific components within the digital ecosystem. Freely accessible educational materials distributed online, collectively termed Open Educational Resources (OER), represent one such key component. This study assesses the relevance of OER for educators, systematizes primary methods of engagement, and identifies motivating factors and barriers in OER development. Survey research conducted with instructors at Russian universities reveals that OER are highly valued for creating and developing digital course content. More than half of the respondents create and share their own materials online for student use, and both faculty and students actively exchange resources via various web services. In the context of the rapid transition to digital formats and increasing demands on instructional quality, OER have emerged as a vital asset. However, an analysis of the regulatory landscape identified the absence of formal institutional OER policies as a significant impediment to their creation. Based on these findings, we propose recommendations for integrating OER into higher education: formally recognize OER within educational policy frameworks, provide educators with legal and methodological support for OER creation and adoption, and launch targeted initiatives to </w:t>
            </w:r>
            <w:r>
              <w:lastRenderedPageBreak/>
              <w:t>communicate the strategic benefits of OER utilization.</w:t>
            </w:r>
          </w:p>
        </w:tc>
      </w:tr>
    </w:tbl>
    <w:p w:rsidR="00AF66DB" w:rsidRDefault="00AF66DB" w:rsidP="00AF66DB"/>
    <w:sectPr w:rsidR="00AF66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B73ADB"/>
    <w:multiLevelType w:val="multilevel"/>
    <w:tmpl w:val="47248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73C"/>
    <w:rsid w:val="000309D8"/>
    <w:rsid w:val="00145A70"/>
    <w:rsid w:val="001541A8"/>
    <w:rsid w:val="0033036D"/>
    <w:rsid w:val="003751A3"/>
    <w:rsid w:val="00443C77"/>
    <w:rsid w:val="004C6C80"/>
    <w:rsid w:val="006209D9"/>
    <w:rsid w:val="00684BB7"/>
    <w:rsid w:val="00771B49"/>
    <w:rsid w:val="007D4D96"/>
    <w:rsid w:val="007F4AE0"/>
    <w:rsid w:val="008E07D5"/>
    <w:rsid w:val="00A246FA"/>
    <w:rsid w:val="00AF66DB"/>
    <w:rsid w:val="00BB573C"/>
    <w:rsid w:val="00C21A90"/>
    <w:rsid w:val="00C32563"/>
    <w:rsid w:val="00C356AA"/>
    <w:rsid w:val="00EA6A53"/>
    <w:rsid w:val="00EE37FE"/>
    <w:rsid w:val="00FB18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C820E6-8BD0-4540-AF75-81211EE5E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51A3"/>
    <w:pPr>
      <w:spacing w:after="200" w:line="276" w:lineRule="auto"/>
    </w:pPr>
    <w:rPr>
      <w:rFonts w:eastAsiaTheme="minorEastAsia"/>
    </w:rPr>
  </w:style>
  <w:style w:type="paragraph" w:styleId="Heading1">
    <w:name w:val="heading 1"/>
    <w:basedOn w:val="Normal"/>
    <w:link w:val="Heading1Char"/>
    <w:uiPriority w:val="9"/>
    <w:qFormat/>
    <w:rsid w:val="003751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309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45A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1A3"/>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3751A3"/>
    <w:rPr>
      <w:color w:val="0563C1" w:themeColor="hyperlink"/>
      <w:u w:val="single"/>
    </w:rPr>
  </w:style>
  <w:style w:type="table" w:styleId="TableGrid">
    <w:name w:val="Table Grid"/>
    <w:basedOn w:val="TableNormal"/>
    <w:uiPriority w:val="39"/>
    <w:rsid w:val="00C21A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2">
    <w:name w:val="Plain Table 2"/>
    <w:basedOn w:val="TableNormal"/>
    <w:uiPriority w:val="42"/>
    <w:rsid w:val="00C21A90"/>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C21A90"/>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684B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036D"/>
    <w:rPr>
      <w:b/>
      <w:bCs/>
    </w:rPr>
  </w:style>
  <w:style w:type="character" w:customStyle="1" w:styleId="Heading3Char">
    <w:name w:val="Heading 3 Char"/>
    <w:basedOn w:val="DefaultParagraphFont"/>
    <w:link w:val="Heading3"/>
    <w:uiPriority w:val="9"/>
    <w:semiHidden/>
    <w:rsid w:val="00145A70"/>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C32563"/>
    <w:rPr>
      <w:i/>
      <w:iCs/>
    </w:rPr>
  </w:style>
  <w:style w:type="character" w:customStyle="1" w:styleId="Heading2Char">
    <w:name w:val="Heading 2 Char"/>
    <w:basedOn w:val="DefaultParagraphFont"/>
    <w:link w:val="Heading2"/>
    <w:uiPriority w:val="9"/>
    <w:semiHidden/>
    <w:rsid w:val="000309D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93515">
      <w:bodyDiv w:val="1"/>
      <w:marLeft w:val="0"/>
      <w:marRight w:val="0"/>
      <w:marTop w:val="0"/>
      <w:marBottom w:val="0"/>
      <w:divBdr>
        <w:top w:val="none" w:sz="0" w:space="0" w:color="auto"/>
        <w:left w:val="none" w:sz="0" w:space="0" w:color="auto"/>
        <w:bottom w:val="none" w:sz="0" w:space="0" w:color="auto"/>
        <w:right w:val="none" w:sz="0" w:space="0" w:color="auto"/>
      </w:divBdr>
      <w:divsChild>
        <w:div w:id="1369718795">
          <w:marLeft w:val="0"/>
          <w:marRight w:val="0"/>
          <w:marTop w:val="0"/>
          <w:marBottom w:val="0"/>
          <w:divBdr>
            <w:top w:val="none" w:sz="0" w:space="0" w:color="auto"/>
            <w:left w:val="none" w:sz="0" w:space="0" w:color="auto"/>
            <w:bottom w:val="none" w:sz="0" w:space="0" w:color="auto"/>
            <w:right w:val="none" w:sz="0" w:space="0" w:color="auto"/>
          </w:divBdr>
          <w:divsChild>
            <w:div w:id="382025768">
              <w:marLeft w:val="0"/>
              <w:marRight w:val="0"/>
              <w:marTop w:val="0"/>
              <w:marBottom w:val="0"/>
              <w:divBdr>
                <w:top w:val="none" w:sz="0" w:space="0" w:color="auto"/>
                <w:left w:val="none" w:sz="0" w:space="0" w:color="auto"/>
                <w:bottom w:val="none" w:sz="0" w:space="0" w:color="auto"/>
                <w:right w:val="none" w:sz="0" w:space="0" w:color="auto"/>
              </w:divBdr>
            </w:div>
          </w:divsChild>
        </w:div>
        <w:div w:id="1718625456">
          <w:marLeft w:val="0"/>
          <w:marRight w:val="0"/>
          <w:marTop w:val="0"/>
          <w:marBottom w:val="0"/>
          <w:divBdr>
            <w:top w:val="none" w:sz="0" w:space="0" w:color="auto"/>
            <w:left w:val="none" w:sz="0" w:space="0" w:color="auto"/>
            <w:bottom w:val="none" w:sz="0" w:space="0" w:color="auto"/>
            <w:right w:val="none" w:sz="0" w:space="0" w:color="auto"/>
          </w:divBdr>
          <w:divsChild>
            <w:div w:id="2898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6165">
      <w:bodyDiv w:val="1"/>
      <w:marLeft w:val="0"/>
      <w:marRight w:val="0"/>
      <w:marTop w:val="0"/>
      <w:marBottom w:val="0"/>
      <w:divBdr>
        <w:top w:val="none" w:sz="0" w:space="0" w:color="auto"/>
        <w:left w:val="none" w:sz="0" w:space="0" w:color="auto"/>
        <w:bottom w:val="none" w:sz="0" w:space="0" w:color="auto"/>
        <w:right w:val="none" w:sz="0" w:space="0" w:color="auto"/>
      </w:divBdr>
      <w:divsChild>
        <w:div w:id="240409501">
          <w:marLeft w:val="0"/>
          <w:marRight w:val="0"/>
          <w:marTop w:val="0"/>
          <w:marBottom w:val="0"/>
          <w:divBdr>
            <w:top w:val="none" w:sz="0" w:space="0" w:color="auto"/>
            <w:left w:val="none" w:sz="0" w:space="0" w:color="auto"/>
            <w:bottom w:val="none" w:sz="0" w:space="0" w:color="auto"/>
            <w:right w:val="none" w:sz="0" w:space="0" w:color="auto"/>
          </w:divBdr>
          <w:divsChild>
            <w:div w:id="1010176195">
              <w:marLeft w:val="0"/>
              <w:marRight w:val="0"/>
              <w:marTop w:val="0"/>
              <w:marBottom w:val="0"/>
              <w:divBdr>
                <w:top w:val="none" w:sz="0" w:space="0" w:color="auto"/>
                <w:left w:val="none" w:sz="0" w:space="0" w:color="auto"/>
                <w:bottom w:val="none" w:sz="0" w:space="0" w:color="auto"/>
                <w:right w:val="none" w:sz="0" w:space="0" w:color="auto"/>
              </w:divBdr>
            </w:div>
          </w:divsChild>
        </w:div>
        <w:div w:id="1838839353">
          <w:marLeft w:val="0"/>
          <w:marRight w:val="0"/>
          <w:marTop w:val="0"/>
          <w:marBottom w:val="0"/>
          <w:divBdr>
            <w:top w:val="none" w:sz="0" w:space="0" w:color="auto"/>
            <w:left w:val="none" w:sz="0" w:space="0" w:color="auto"/>
            <w:bottom w:val="none" w:sz="0" w:space="0" w:color="auto"/>
            <w:right w:val="none" w:sz="0" w:space="0" w:color="auto"/>
          </w:divBdr>
          <w:divsChild>
            <w:div w:id="120539067">
              <w:marLeft w:val="0"/>
              <w:marRight w:val="0"/>
              <w:marTop w:val="0"/>
              <w:marBottom w:val="0"/>
              <w:divBdr>
                <w:top w:val="none" w:sz="0" w:space="0" w:color="auto"/>
                <w:left w:val="none" w:sz="0" w:space="0" w:color="auto"/>
                <w:bottom w:val="none" w:sz="0" w:space="0" w:color="auto"/>
                <w:right w:val="none" w:sz="0" w:space="0" w:color="auto"/>
              </w:divBdr>
              <w:divsChild>
                <w:div w:id="11967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218603">
      <w:bodyDiv w:val="1"/>
      <w:marLeft w:val="0"/>
      <w:marRight w:val="0"/>
      <w:marTop w:val="0"/>
      <w:marBottom w:val="0"/>
      <w:divBdr>
        <w:top w:val="none" w:sz="0" w:space="0" w:color="auto"/>
        <w:left w:val="none" w:sz="0" w:space="0" w:color="auto"/>
        <w:bottom w:val="none" w:sz="0" w:space="0" w:color="auto"/>
        <w:right w:val="none" w:sz="0" w:space="0" w:color="auto"/>
      </w:divBdr>
      <w:divsChild>
        <w:div w:id="1987662264">
          <w:marLeft w:val="0"/>
          <w:marRight w:val="0"/>
          <w:marTop w:val="0"/>
          <w:marBottom w:val="0"/>
          <w:divBdr>
            <w:top w:val="none" w:sz="0" w:space="0" w:color="auto"/>
            <w:left w:val="none" w:sz="0" w:space="0" w:color="auto"/>
            <w:bottom w:val="none" w:sz="0" w:space="0" w:color="auto"/>
            <w:right w:val="none" w:sz="0" w:space="0" w:color="auto"/>
          </w:divBdr>
          <w:divsChild>
            <w:div w:id="1301181171">
              <w:marLeft w:val="0"/>
              <w:marRight w:val="0"/>
              <w:marTop w:val="0"/>
              <w:marBottom w:val="0"/>
              <w:divBdr>
                <w:top w:val="none" w:sz="0" w:space="0" w:color="auto"/>
                <w:left w:val="none" w:sz="0" w:space="0" w:color="auto"/>
                <w:bottom w:val="none" w:sz="0" w:space="0" w:color="auto"/>
                <w:right w:val="none" w:sz="0" w:space="0" w:color="auto"/>
              </w:divBdr>
              <w:divsChild>
                <w:div w:id="14969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17445">
      <w:bodyDiv w:val="1"/>
      <w:marLeft w:val="0"/>
      <w:marRight w:val="0"/>
      <w:marTop w:val="0"/>
      <w:marBottom w:val="0"/>
      <w:divBdr>
        <w:top w:val="none" w:sz="0" w:space="0" w:color="auto"/>
        <w:left w:val="none" w:sz="0" w:space="0" w:color="auto"/>
        <w:bottom w:val="none" w:sz="0" w:space="0" w:color="auto"/>
        <w:right w:val="none" w:sz="0" w:space="0" w:color="auto"/>
      </w:divBdr>
      <w:divsChild>
        <w:div w:id="969213787">
          <w:marLeft w:val="0"/>
          <w:marRight w:val="0"/>
          <w:marTop w:val="0"/>
          <w:marBottom w:val="0"/>
          <w:divBdr>
            <w:top w:val="none" w:sz="0" w:space="0" w:color="auto"/>
            <w:left w:val="none" w:sz="0" w:space="0" w:color="auto"/>
            <w:bottom w:val="none" w:sz="0" w:space="0" w:color="auto"/>
            <w:right w:val="none" w:sz="0" w:space="0" w:color="auto"/>
          </w:divBdr>
          <w:divsChild>
            <w:div w:id="750541505">
              <w:marLeft w:val="0"/>
              <w:marRight w:val="0"/>
              <w:marTop w:val="0"/>
              <w:marBottom w:val="0"/>
              <w:divBdr>
                <w:top w:val="none" w:sz="0" w:space="0" w:color="auto"/>
                <w:left w:val="none" w:sz="0" w:space="0" w:color="auto"/>
                <w:bottom w:val="none" w:sz="0" w:space="0" w:color="auto"/>
                <w:right w:val="none" w:sz="0" w:space="0" w:color="auto"/>
              </w:divBdr>
              <w:divsChild>
                <w:div w:id="7180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08936">
      <w:bodyDiv w:val="1"/>
      <w:marLeft w:val="0"/>
      <w:marRight w:val="0"/>
      <w:marTop w:val="0"/>
      <w:marBottom w:val="0"/>
      <w:divBdr>
        <w:top w:val="none" w:sz="0" w:space="0" w:color="auto"/>
        <w:left w:val="none" w:sz="0" w:space="0" w:color="auto"/>
        <w:bottom w:val="none" w:sz="0" w:space="0" w:color="auto"/>
        <w:right w:val="none" w:sz="0" w:space="0" w:color="auto"/>
      </w:divBdr>
      <w:divsChild>
        <w:div w:id="314604191">
          <w:marLeft w:val="0"/>
          <w:marRight w:val="0"/>
          <w:marTop w:val="0"/>
          <w:marBottom w:val="0"/>
          <w:divBdr>
            <w:top w:val="none" w:sz="0" w:space="0" w:color="auto"/>
            <w:left w:val="none" w:sz="0" w:space="0" w:color="auto"/>
            <w:bottom w:val="none" w:sz="0" w:space="0" w:color="auto"/>
            <w:right w:val="none" w:sz="0" w:space="0" w:color="auto"/>
          </w:divBdr>
          <w:divsChild>
            <w:div w:id="1725832458">
              <w:marLeft w:val="0"/>
              <w:marRight w:val="0"/>
              <w:marTop w:val="0"/>
              <w:marBottom w:val="0"/>
              <w:divBdr>
                <w:top w:val="none" w:sz="0" w:space="0" w:color="auto"/>
                <w:left w:val="none" w:sz="0" w:space="0" w:color="auto"/>
                <w:bottom w:val="none" w:sz="0" w:space="0" w:color="auto"/>
                <w:right w:val="none" w:sz="0" w:space="0" w:color="auto"/>
              </w:divBdr>
              <w:divsChild>
                <w:div w:id="14094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13635">
      <w:bodyDiv w:val="1"/>
      <w:marLeft w:val="0"/>
      <w:marRight w:val="0"/>
      <w:marTop w:val="0"/>
      <w:marBottom w:val="0"/>
      <w:divBdr>
        <w:top w:val="none" w:sz="0" w:space="0" w:color="auto"/>
        <w:left w:val="none" w:sz="0" w:space="0" w:color="auto"/>
        <w:bottom w:val="none" w:sz="0" w:space="0" w:color="auto"/>
        <w:right w:val="none" w:sz="0" w:space="0" w:color="auto"/>
      </w:divBdr>
      <w:divsChild>
        <w:div w:id="1506432936">
          <w:marLeft w:val="0"/>
          <w:marRight w:val="0"/>
          <w:marTop w:val="0"/>
          <w:marBottom w:val="0"/>
          <w:divBdr>
            <w:top w:val="none" w:sz="0" w:space="0" w:color="auto"/>
            <w:left w:val="none" w:sz="0" w:space="0" w:color="auto"/>
            <w:bottom w:val="none" w:sz="0" w:space="0" w:color="auto"/>
            <w:right w:val="none" w:sz="0" w:space="0" w:color="auto"/>
          </w:divBdr>
          <w:divsChild>
            <w:div w:id="9115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40882">
      <w:bodyDiv w:val="1"/>
      <w:marLeft w:val="0"/>
      <w:marRight w:val="0"/>
      <w:marTop w:val="0"/>
      <w:marBottom w:val="0"/>
      <w:divBdr>
        <w:top w:val="none" w:sz="0" w:space="0" w:color="auto"/>
        <w:left w:val="none" w:sz="0" w:space="0" w:color="auto"/>
        <w:bottom w:val="none" w:sz="0" w:space="0" w:color="auto"/>
        <w:right w:val="none" w:sz="0" w:space="0" w:color="auto"/>
      </w:divBdr>
    </w:div>
    <w:div w:id="193064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leninka.ru/article/n/otkrytye-obrazovatelnye-resursy-i-tsifrovaya-sreda-obucheniya?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14</Pages>
  <Words>4887</Words>
  <Characters>27860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2026-01-05T20:20:00Z</dcterms:created>
  <dcterms:modified xsi:type="dcterms:W3CDTF">2026-01-05T21:42:00Z</dcterms:modified>
</cp:coreProperties>
</file>