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after="0"/>
        <w:jc w:val="center"/>
      </w:pPr>
      <w:r>
        <w:rPr>
          <w:rFonts w:ascii="Times New Roman" w:hAnsi="Times New Roman"/>
          <w:b/>
          <w:sz w:val="24"/>
        </w:rPr>
        <w:t>Culinary School Versus On-the-Job Training and Real Kitchen Skill Development</w:t>
      </w:r>
    </w:p>
    <w:p>
      <w:pPr>
        <w:spacing w:line="480" w:lineRule="auto" w:after="0"/>
        <w:jc w:val="center"/>
      </w:pPr>
      <w:r>
        <w:rPr>
          <w:rFonts w:ascii="Times New Roman" w:hAnsi="Times New Roman"/>
          <w:b w:val="0"/>
          <w:sz w:val="24"/>
        </w:rPr>
        <w:t>Saira Binte Shahriar</w:t>
      </w:r>
    </w:p>
    <w:p>
      <w:pPr>
        <w:spacing w:line="480" w:lineRule="auto" w:after="0"/>
        <w:jc w:val="center"/>
      </w:pPr>
      <w:r>
        <w:rPr>
          <w:rFonts w:ascii="Times New Roman" w:hAnsi="Times New Roman"/>
          <w:b w:val="0"/>
          <w:sz w:val="24"/>
        </w:rPr>
        <w:t>University of the People</w:t>
      </w:r>
    </w:p>
    <w:p>
      <w:pPr>
        <w:spacing w:line="480" w:lineRule="auto" w:after="0"/>
        <w:jc w:val="center"/>
      </w:pPr>
      <w:r>
        <w:rPr>
          <w:rFonts w:ascii="Times New Roman" w:hAnsi="Times New Roman"/>
          <w:b w:val="0"/>
          <w:sz w:val="24"/>
        </w:rPr>
        <w:t>ENGL 1102-01: English Composition 2</w:t>
      </w:r>
    </w:p>
    <w:p>
      <w:pPr>
        <w:spacing w:line="480" w:lineRule="auto" w:after="0"/>
        <w:jc w:val="center"/>
      </w:pPr>
      <w:r>
        <w:rPr>
          <w:rFonts w:ascii="Times New Roman" w:hAnsi="Times New Roman"/>
          <w:b w:val="0"/>
          <w:sz w:val="24"/>
        </w:rPr>
        <w:t>Aparna Rajith</w:t>
      </w:r>
    </w:p>
    <w:p>
      <w:pPr>
        <w:spacing w:line="480" w:lineRule="auto" w:after="0"/>
        <w:jc w:val="center"/>
      </w:pPr>
      <w:r>
        <w:rPr>
          <w:rFonts w:ascii="Times New Roman" w:hAnsi="Times New Roman"/>
          <w:b w:val="0"/>
          <w:sz w:val="24"/>
        </w:rPr>
        <w:t>September 16, 2026</w:t>
      </w:r>
    </w:p>
    <w:p>
      <w:r>
        <w:br w:type="page"/>
      </w:r>
    </w:p>
    <w:p>
      <w:pPr>
        <w:spacing w:line="480" w:lineRule="auto" w:after="0"/>
        <w:jc w:val="center"/>
      </w:pPr>
      <w:r>
        <w:rPr>
          <w:rFonts w:ascii="Times New Roman" w:hAnsi="Times New Roman"/>
          <w:b/>
          <w:sz w:val="24"/>
        </w:rPr>
        <w:t>Culinary School Versus On-the-Job Training and Real Kitchen Skill Development</w:t>
      </w:r>
    </w:p>
    <w:p>
      <w:pPr>
        <w:spacing w:line="480" w:lineRule="auto" w:after="0"/>
        <w:ind w:firstLine="720"/>
      </w:pPr>
      <w:r>
        <w:rPr>
          <w:rFonts w:ascii="Times New Roman" w:hAnsi="Times New Roman"/>
          <w:b w:val="0"/>
          <w:sz w:val="24"/>
        </w:rPr>
        <w:t>Every cook who dreams of running their own kitchen eventually weighs the same choice: spend years and tuition on culinary school, or just start working and learn the trade on the line. Meiser (2024) studied professional kitchens up close, and plenty of the successful chefs she followed never sat in a culinary classroom at all. Below is a testable hypothesis on that choice, plus five sources solid enough to anchor a literature review.</w:t>
      </w:r>
    </w:p>
    <w:p>
      <w:pPr>
        <w:spacing w:line="480" w:lineRule="auto" w:after="0"/>
        <w:jc w:val="center"/>
      </w:pPr>
      <w:r>
        <w:rPr>
          <w:rFonts w:ascii="Times New Roman" w:hAnsi="Times New Roman"/>
          <w:b/>
          <w:sz w:val="24"/>
        </w:rPr>
        <w:t>Research Hypothesis</w:t>
      </w:r>
    </w:p>
    <w:p>
      <w:pPr>
        <w:spacing w:line="480" w:lineRule="auto" w:after="0"/>
        <w:ind w:firstLine="720"/>
      </w:pPr>
      <w:r>
        <w:rPr>
          <w:rFonts w:ascii="Times New Roman" w:hAnsi="Times New Roman"/>
          <w:b w:val="0"/>
          <w:sz w:val="24"/>
        </w:rPr>
        <w:t>Aspiring chefs who spend at least two years working in a professional kitchen without formal culinary training will develop faster practical speed and adaptability under time pressure than those who instead complete a two-year culinary school program, who will show stronger technical grounding and food-science knowledge once both groups are tested.</w:t>
      </w:r>
    </w:p>
    <w:p>
      <w:pPr>
        <w:spacing w:line="480" w:lineRule="auto" w:after="0"/>
        <w:ind w:firstLine="720"/>
      </w:pPr>
      <w:r>
        <w:rPr>
          <w:rFonts w:ascii="Times New Roman" w:hAnsi="Times New Roman"/>
          <w:b w:val="0"/>
          <w:sz w:val="24"/>
        </w:rPr>
        <w:t>Per Serdikoff's (2021) chapter on the scientific process, a hypothesis only earns its keep if it can actually be proven wrong, so it commits to a real, checkable prediction rather than staying vague. Splitting the outcome two ways, quicker hands-on speed against deeper classroom knowledge, gives the comparison something concrete to fail or hold up under, instead of just guessing one side wins across the board.</w:t>
      </w:r>
    </w:p>
    <w:p>
      <w:pPr>
        <w:spacing w:line="480" w:lineRule="auto" w:after="0"/>
        <w:ind w:firstLine="720"/>
      </w:pPr>
      <w:r>
        <w:rPr>
          <w:rFonts w:ascii="Times New Roman" w:hAnsi="Times New Roman"/>
          <w:b w:val="0"/>
          <w:sz w:val="24"/>
        </w:rPr>
        <w:t>That falsifiable core is also what makes the SMART pieces line up. Naming both training routes plus a fixed window covers specificity, and it's achievable since kitchens and culinary schools already track outcomes like these. Relevance follows from how often the debate comes up among people entering the industry, and holding both groups to the same window is what keeps it time-bound and fair, rather than letting extra years on the job tip the scale for either side.</w:t>
      </w:r>
    </w:p>
    <w:p>
      <w:pPr>
        <w:spacing w:line="480" w:lineRule="auto" w:after="0"/>
        <w:jc w:val="center"/>
      </w:pPr>
      <w:r>
        <w:rPr>
          <w:rFonts w:ascii="Times New Roman" w:hAnsi="Times New Roman"/>
          <w:b/>
          <w:sz w:val="24"/>
        </w:rPr>
        <w:t>Five Credible Online Sources</w:t>
      </w:r>
    </w:p>
    <w:p>
      <w:pPr>
        <w:spacing w:line="480" w:lineRule="auto" w:after="0"/>
        <w:ind w:firstLine="720"/>
      </w:pPr>
      <w:r>
        <w:rPr>
          <w:rFonts w:ascii="Times New Roman" w:hAnsi="Times New Roman"/>
          <w:i w:val="0"/>
          <w:sz w:val="24"/>
        </w:rPr>
        <w:t xml:space="preserve">Meiser's (2024) book, </w:t>
      </w:r>
      <w:r>
        <w:rPr>
          <w:rFonts w:ascii="Times New Roman" w:hAnsi="Times New Roman"/>
          <w:i/>
          <w:sz w:val="24"/>
        </w:rPr>
        <w:t>Making It: Success in the Commercial Kitchen</w:t>
      </w:r>
      <w:r>
        <w:rPr>
          <w:rFonts w:ascii="Times New Roman" w:hAnsi="Times New Roman"/>
          <w:i w:val="0"/>
          <w:sz w:val="24"/>
        </w:rPr>
        <w:t>, comes from Rutgers University Press and is based on her own doctoral research into how restaurant workers actually rise through the ranks. Its credibility rests on being formally reviewed academic sociology, not just industry opinion, and her central idea, that success depends on “kitchen capital” built through real workplace experience, speaks directly to the on-the-job side of this hypothesis.</w:t>
      </w:r>
    </w:p>
    <w:p>
      <w:pPr>
        <w:spacing w:line="480" w:lineRule="auto" w:after="0"/>
        <w:ind w:firstLine="720"/>
      </w:pPr>
      <w:r>
        <w:rPr>
          <w:rFonts w:ascii="Times New Roman" w:hAnsi="Times New Roman"/>
          <w:i w:val="0"/>
          <w:sz w:val="24"/>
        </w:rPr>
        <w:t xml:space="preserve">In </w:t>
      </w:r>
      <w:r>
        <w:rPr>
          <w:rFonts w:ascii="Times New Roman" w:hAnsi="Times New Roman"/>
          <w:i/>
          <w:sz w:val="24"/>
        </w:rPr>
        <w:t>Sustainability</w:t>
      </w:r>
      <w:r>
        <w:rPr>
          <w:rFonts w:ascii="Times New Roman" w:hAnsi="Times New Roman"/>
          <w:i w:val="0"/>
          <w:sz w:val="24"/>
        </w:rPr>
        <w:t>, a peer-reviewed journal, Tsui and Chen (2020) ran a quasi-experimental study on new hotel food-and-beverage staff, comparing hands-on apprenticeship-style teaching against conventional lecturing. What they measured was training satisfaction, not kitchen speed itself, and the apprenticeship group came out ahead there, suggesting hands-on instruction changes how trainees experience learning a skill, even without proving it makes them faster.</w:t>
      </w:r>
    </w:p>
    <w:p>
      <w:pPr>
        <w:spacing w:line="480" w:lineRule="auto" w:after="0"/>
        <w:ind w:firstLine="720"/>
      </w:pPr>
      <w:r>
        <w:rPr>
          <w:rFonts w:ascii="Times New Roman" w:hAnsi="Times New Roman"/>
          <w:i w:val="0"/>
          <w:sz w:val="24"/>
        </w:rPr>
        <w:t xml:space="preserve">Hu et al. (2005) wrote in the </w:t>
      </w:r>
      <w:r>
        <w:rPr>
          <w:rFonts w:ascii="Times New Roman" w:hAnsi="Times New Roman"/>
          <w:i/>
          <w:sz w:val="24"/>
        </w:rPr>
        <w:t>Journal of Human Resources in Hospitality &amp; Tourism</w:t>
      </w:r>
      <w:r>
        <w:rPr>
          <w:rFonts w:ascii="Times New Roman" w:hAnsi="Times New Roman"/>
          <w:i w:val="0"/>
          <w:sz w:val="24"/>
        </w:rPr>
        <w:t>, comparing chefs trained through certification, culinary degrees, and apprenticeships specifically on their food-preparation knowledge and practices. Their results actually cut against a clean story here: the type of training barely changed nutritional knowledge, which pushes back on any easy claim that one path always produces better-informed chefs.</w:t>
      </w:r>
    </w:p>
    <w:p>
      <w:pPr>
        <w:spacing w:line="480" w:lineRule="auto" w:after="0"/>
        <w:ind w:firstLine="720"/>
      </w:pPr>
      <w:r>
        <w:rPr>
          <w:rFonts w:ascii="Times New Roman" w:hAnsi="Times New Roman"/>
          <w:i w:val="0"/>
          <w:sz w:val="24"/>
        </w:rPr>
        <w:t xml:space="preserve">A survey of 264 culinary program graduates by Na, Jung, and Han (2024), published in another peer-reviewed outlet, </w:t>
      </w:r>
      <w:r>
        <w:rPr>
          <w:rFonts w:ascii="Times New Roman" w:hAnsi="Times New Roman"/>
          <w:i/>
          <w:sz w:val="24"/>
        </w:rPr>
        <w:t>Tourism and Hospitality</w:t>
      </w:r>
      <w:r>
        <w:rPr>
          <w:rFonts w:ascii="Times New Roman" w:hAnsi="Times New Roman"/>
          <w:i w:val="0"/>
          <w:sz w:val="24"/>
        </w:rPr>
        <w:t>, found no statistically significant link between whether someone's education matched their job and their satisfaction or turnover; what actually mattered was how well the job fit their broader career direction. That's a useful check against just assuming a culinary degree pays off on its own.</w:t>
      </w:r>
    </w:p>
    <w:p>
      <w:pPr>
        <w:spacing w:line="480" w:lineRule="auto" w:after="0"/>
        <w:ind w:firstLine="720"/>
      </w:pPr>
      <w:r>
        <w:rPr>
          <w:rFonts w:ascii="Times New Roman" w:hAnsi="Times New Roman"/>
          <w:b w:val="0"/>
          <w:sz w:val="24"/>
        </w:rPr>
        <w:t>The fifth entry works differently. George's (2024) Scribbr article on spotting reliable research isn't culinary literature; it's the yardstick everything else got measured against before making the cut. Authorship, review status, and currency are what it says to check, and running the four studies above through that checklist kept this list honest.</w:t>
      </w:r>
    </w:p>
    <w:p>
      <w:pPr>
        <w:spacing w:line="480" w:lineRule="auto" w:after="0"/>
        <w:jc w:val="center"/>
      </w:pPr>
      <w:r>
        <w:rPr>
          <w:rFonts w:ascii="Times New Roman" w:hAnsi="Times New Roman"/>
          <w:b/>
          <w:sz w:val="24"/>
        </w:rPr>
        <w:t>Conclusion</w:t>
      </w:r>
    </w:p>
    <w:p>
      <w:pPr>
        <w:spacing w:line="480" w:lineRule="auto" w:after="0"/>
        <w:ind w:firstLine="720"/>
      </w:pPr>
      <w:r>
        <w:rPr>
          <w:rFonts w:ascii="Times New Roman" w:hAnsi="Times New Roman"/>
          <w:b w:val="0"/>
          <w:sz w:val="24"/>
        </w:rPr>
        <w:t>Each of these five earned its spot for a specific reason, not just for mentioning chefs or kitchens. Meiser's fieldwork and Tsui and Chen's training comparison back the hands-on half of what this hypothesis predicts; Hu et al. complicate any easy story about which path teaches more; Na, Jung, and Han's survey keeps that whole prediction honest by showing education-job match isn't automatically decisive; and Scribbr supplied the actual criteria used to decide whether any of the four belonged here at all. Put side by side, this research suggests the relationship between formal training and real kitchen skill isn't nearly as settled as either side of the debate likes to claim.</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i w:val="0"/>
          <w:sz w:val="24"/>
        </w:rPr>
        <w:t xml:space="preserve">George, T. (2024, May 9). </w:t>
      </w:r>
      <w:r>
        <w:rPr>
          <w:rFonts w:ascii="Times New Roman" w:hAnsi="Times New Roman"/>
          <w:i/>
          <w:sz w:val="24"/>
        </w:rPr>
        <w:t>What are credible sources &amp; how to spot them | Examples</w:t>
      </w:r>
      <w:r>
        <w:rPr>
          <w:rFonts w:ascii="Times New Roman" w:hAnsi="Times New Roman"/>
          <w:i w:val="0"/>
          <w:sz w:val="24"/>
        </w:rPr>
        <w:t xml:space="preserve">. Scribbr. </w:t>
      </w:r>
      <w:hyperlink r:id="rId9">
        <w:r>
          <w:rPr>
            <w:rFonts w:ascii="Times New Roman" w:hAnsi="Times New Roman"/>
            <w:sz w:val="24"/>
            <w:color w:val="0563C1"/>
            <w:u w:val="single"/>
          </w:rPr>
          <w:t>https://www.scribbr.com/working-with-sources/credible-sources/</w:t>
        </w:r>
      </w:hyperlink>
    </w:p>
    <w:p>
      <w:pPr>
        <w:spacing w:line="480" w:lineRule="auto" w:after="0"/>
        <w:ind w:left="720" w:hanging="720"/>
      </w:pPr>
      <w:r>
        <w:rPr>
          <w:rFonts w:ascii="Times New Roman" w:hAnsi="Times New Roman"/>
          <w:i w:val="0"/>
          <w:sz w:val="24"/>
        </w:rPr>
        <w:t xml:space="preserve">Hu, S.-M., Leong, J. K., Wei, C.-I., &amp; Yeh, J.-M. (2005). The impacts of culinary training on healthful food preparation. </w:t>
      </w:r>
      <w:r>
        <w:rPr>
          <w:rFonts w:ascii="Times New Roman" w:hAnsi="Times New Roman"/>
          <w:i/>
          <w:sz w:val="24"/>
        </w:rPr>
        <w:t>Journal of Human Resources in Hospitality &amp; Tourism</w:t>
      </w:r>
      <w:r>
        <w:rPr>
          <w:rFonts w:ascii="Times New Roman" w:hAnsi="Times New Roman"/>
          <w:i w:val="0"/>
          <w:sz w:val="24"/>
        </w:rPr>
        <w:t xml:space="preserve">, </w:t>
      </w:r>
      <w:r>
        <w:rPr>
          <w:rFonts w:ascii="Times New Roman" w:hAnsi="Times New Roman"/>
          <w:i/>
          <w:sz w:val="24"/>
        </w:rPr>
        <w:t>4</w:t>
      </w:r>
      <w:r>
        <w:rPr>
          <w:rFonts w:ascii="Times New Roman" w:hAnsi="Times New Roman"/>
          <w:i w:val="0"/>
          <w:sz w:val="24"/>
        </w:rPr>
        <w:t xml:space="preserve">(2), 83–97. </w:t>
      </w:r>
      <w:hyperlink r:id="rId10">
        <w:r>
          <w:rPr>
            <w:rFonts w:ascii="Times New Roman" w:hAnsi="Times New Roman"/>
            <w:sz w:val="24"/>
            <w:color w:val="0563C1"/>
            <w:u w:val="single"/>
          </w:rPr>
          <w:t>https://doi.org/10.1300/J171v04n02_05</w:t>
        </w:r>
      </w:hyperlink>
    </w:p>
    <w:p>
      <w:pPr>
        <w:spacing w:line="480" w:lineRule="auto" w:after="0"/>
        <w:ind w:left="720" w:hanging="720"/>
      </w:pPr>
      <w:r>
        <w:rPr>
          <w:rFonts w:ascii="Times New Roman" w:hAnsi="Times New Roman"/>
          <w:i w:val="0"/>
          <w:sz w:val="24"/>
        </w:rPr>
        <w:t xml:space="preserve">Meiser, E. T. (2024). </w:t>
      </w:r>
      <w:r>
        <w:rPr>
          <w:rFonts w:ascii="Times New Roman" w:hAnsi="Times New Roman"/>
          <w:i/>
          <w:sz w:val="24"/>
        </w:rPr>
        <w:t>Making it: Success in the commercial kitchen</w:t>
      </w:r>
      <w:r>
        <w:rPr>
          <w:rFonts w:ascii="Times New Roman" w:hAnsi="Times New Roman"/>
          <w:i w:val="0"/>
          <w:sz w:val="24"/>
        </w:rPr>
        <w:t xml:space="preserve">. Rutgers University Press. </w:t>
      </w:r>
      <w:hyperlink r:id="rId11">
        <w:r>
          <w:rPr>
            <w:rFonts w:ascii="Times New Roman" w:hAnsi="Times New Roman"/>
            <w:sz w:val="24"/>
            <w:color w:val="0563C1"/>
            <w:u w:val="single"/>
          </w:rPr>
          <w:t>https://www.rutgersuniversitypress.org/making-it/9781978840140</w:t>
        </w:r>
      </w:hyperlink>
    </w:p>
    <w:p>
      <w:pPr>
        <w:spacing w:line="480" w:lineRule="auto" w:after="0"/>
        <w:ind w:left="720" w:hanging="720"/>
      </w:pPr>
      <w:r>
        <w:rPr>
          <w:rFonts w:ascii="Times New Roman" w:hAnsi="Times New Roman"/>
          <w:i w:val="0"/>
          <w:sz w:val="24"/>
        </w:rPr>
        <w:t xml:space="preserve">Na, T.-K., Jung, I.-Y., &amp; Han, S. (2024). The effect of major, education, and skill match on job satisfaction and turnover intention among culinary arts graduates. </w:t>
      </w:r>
      <w:r>
        <w:rPr>
          <w:rFonts w:ascii="Times New Roman" w:hAnsi="Times New Roman"/>
          <w:i/>
          <w:sz w:val="24"/>
        </w:rPr>
        <w:t>Tourism and Hospitality</w:t>
      </w:r>
      <w:r>
        <w:rPr>
          <w:rFonts w:ascii="Times New Roman" w:hAnsi="Times New Roman"/>
          <w:i w:val="0"/>
          <w:sz w:val="24"/>
        </w:rPr>
        <w:t xml:space="preserve">, </w:t>
      </w:r>
      <w:r>
        <w:rPr>
          <w:rFonts w:ascii="Times New Roman" w:hAnsi="Times New Roman"/>
          <w:i/>
          <w:sz w:val="24"/>
        </w:rPr>
        <w:t>5</w:t>
      </w:r>
      <w:r>
        <w:rPr>
          <w:rFonts w:ascii="Times New Roman" w:hAnsi="Times New Roman"/>
          <w:i w:val="0"/>
          <w:sz w:val="24"/>
        </w:rPr>
        <w:t xml:space="preserve">(4), 874–886. </w:t>
      </w:r>
      <w:hyperlink r:id="rId12">
        <w:r>
          <w:rPr>
            <w:rFonts w:ascii="Times New Roman" w:hAnsi="Times New Roman"/>
            <w:sz w:val="24"/>
            <w:color w:val="0563C1"/>
            <w:u w:val="single"/>
          </w:rPr>
          <w:t>https://doi.org/10.3390/tourhosp5040050</w:t>
        </w:r>
      </w:hyperlink>
    </w:p>
    <w:p>
      <w:pPr>
        <w:spacing w:line="480" w:lineRule="auto" w:after="0"/>
        <w:ind w:left="720" w:hanging="720"/>
      </w:pPr>
      <w:r>
        <w:rPr>
          <w:rFonts w:ascii="Times New Roman" w:hAnsi="Times New Roman"/>
          <w:i w:val="0"/>
          <w:sz w:val="24"/>
        </w:rPr>
        <w:t xml:space="preserve">Serdikoff, S. (2021). </w:t>
      </w:r>
      <w:r>
        <w:rPr>
          <w:rFonts w:ascii="Times New Roman" w:hAnsi="Times New Roman"/>
          <w:i/>
          <w:sz w:val="24"/>
        </w:rPr>
        <w:t>Research methods for the behavioral sciences</w:t>
      </w:r>
      <w:r>
        <w:rPr>
          <w:rFonts w:ascii="Times New Roman" w:hAnsi="Times New Roman"/>
          <w:i w:val="0"/>
          <w:sz w:val="24"/>
        </w:rPr>
        <w:t xml:space="preserve"> (5th ed.). GALILEO Open Learning Materials. </w:t>
      </w:r>
      <w:hyperlink r:id="rId13">
        <w:r>
          <w:rPr>
            <w:rFonts w:ascii="Times New Roman" w:hAnsi="Times New Roman"/>
            <w:sz w:val="24"/>
            <w:color w:val="0563C1"/>
            <w:u w:val="single"/>
          </w:rPr>
          <w:t>https://oer.galileo.usg.edu/psychology-textbooks/12/</w:t>
        </w:r>
      </w:hyperlink>
    </w:p>
    <w:p>
      <w:pPr>
        <w:spacing w:line="480" w:lineRule="auto" w:after="0"/>
        <w:ind w:left="720" w:hanging="720"/>
      </w:pPr>
      <w:r>
        <w:rPr>
          <w:rFonts w:ascii="Times New Roman" w:hAnsi="Times New Roman"/>
          <w:i w:val="0"/>
          <w:sz w:val="24"/>
        </w:rPr>
        <w:t xml:space="preserve">Tsui, P.-L., &amp; Chen, Y.-C. (2020). Sustainable development of hotel food and beverage service training: Learning satisfaction with the situated cognitive apprenticeship approach. </w:t>
      </w:r>
      <w:r>
        <w:rPr>
          <w:rFonts w:ascii="Times New Roman" w:hAnsi="Times New Roman"/>
          <w:i/>
          <w:sz w:val="24"/>
        </w:rPr>
        <w:t>Sustainability</w:t>
      </w:r>
      <w:r>
        <w:rPr>
          <w:rFonts w:ascii="Times New Roman" w:hAnsi="Times New Roman"/>
          <w:i w:val="0"/>
          <w:sz w:val="24"/>
        </w:rPr>
        <w:t xml:space="preserve">, </w:t>
      </w:r>
      <w:r>
        <w:rPr>
          <w:rFonts w:ascii="Times New Roman" w:hAnsi="Times New Roman"/>
          <w:i/>
          <w:sz w:val="24"/>
        </w:rPr>
        <w:t>12</w:t>
      </w:r>
      <w:r>
        <w:rPr>
          <w:rFonts w:ascii="Times New Roman" w:hAnsi="Times New Roman"/>
          <w:i w:val="0"/>
          <w:sz w:val="24"/>
        </w:rPr>
        <w:t xml:space="preserve">(5), 1951. </w:t>
      </w:r>
      <w:hyperlink r:id="rId14">
        <w:r>
          <w:rPr>
            <w:rFonts w:ascii="Times New Roman" w:hAnsi="Times New Roman"/>
            <w:sz w:val="24"/>
            <w:color w:val="0563C1"/>
            <w:u w:val="single"/>
          </w:rPr>
          <w:t>https://doi.org/10.3390/su12051951</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ribbr.com/working-with-sources/credible-sources/" TargetMode="External"/><Relationship Id="rId10" Type="http://schemas.openxmlformats.org/officeDocument/2006/relationships/hyperlink" Target="https://doi.org/10.1300/J171v04n02_05" TargetMode="External"/><Relationship Id="rId11" Type="http://schemas.openxmlformats.org/officeDocument/2006/relationships/hyperlink" Target="https://www.rutgersuniversitypress.org/making-it/9781978840140" TargetMode="External"/><Relationship Id="rId12" Type="http://schemas.openxmlformats.org/officeDocument/2006/relationships/hyperlink" Target="https://doi.org/10.3390/tourhosp5040050" TargetMode="External"/><Relationship Id="rId13" Type="http://schemas.openxmlformats.org/officeDocument/2006/relationships/hyperlink" Target="https://oer.galileo.usg.edu/psychology-textbooks/12/" TargetMode="External"/><Relationship Id="rId14" Type="http://schemas.openxmlformats.org/officeDocument/2006/relationships/hyperlink" Target="https://doi.org/10.3390/su12051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694</Words>
  <Characters>3890</Characters>
  <Application>Microsoft Macintosh Word</Application>
  <DocSecurity>0</DocSecurity>
  <Lines>65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2013-12-23T23:15:00Z</dcterms:created>
  <dcterms:modified xsi:type="dcterms:W3CDTF">2013-12-23T23:15:00Z</dcterms:modified>
  <cp:category/>
</cp:coreProperties>
</file>