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i w:val="0"/>
          <w:sz w:val="24"/>
        </w:rPr>
        <w:t>AI Coding Assistants and CS1 Learning Outcomes: A Refined Problem Statement, Objectives, and Research Questions</w:t>
      </w:r>
    </w:p>
    <w:p>
      <w:pPr>
        <w:jc w:val="center"/>
      </w:pPr>
      <w:r>
        <w:rPr>
          <w:rFonts w:ascii="Times New Roman" w:hAnsi="Times New Roman"/>
          <w:b w:val="0"/>
          <w:i w:val="0"/>
          <w:sz w:val="24"/>
        </w:rPr>
        <w:t>S M Wasir Jayed Rafi</w:t>
      </w:r>
    </w:p>
    <w:p>
      <w:pPr>
        <w:jc w:val="center"/>
      </w:pPr>
      <w:r>
        <w:rPr>
          <w:rFonts w:ascii="Times New Roman" w:hAnsi="Times New Roman"/>
          <w:b w:val="0"/>
          <w:i w:val="0"/>
          <w:sz w:val="24"/>
        </w:rPr>
        <w:t>University of the People</w:t>
      </w:r>
    </w:p>
    <w:p>
      <w:pPr>
        <w:jc w:val="center"/>
      </w:pPr>
      <w:r>
        <w:rPr>
          <w:rFonts w:ascii="Times New Roman" w:hAnsi="Times New Roman"/>
          <w:b w:val="0"/>
          <w:i w:val="0"/>
          <w:sz w:val="24"/>
        </w:rPr>
        <w:t>ENGL 1102-01: English Composition 2</w:t>
      </w:r>
    </w:p>
    <w:p>
      <w:pPr>
        <w:jc w:val="center"/>
      </w:pPr>
      <w:r>
        <w:rPr>
          <w:rFonts w:ascii="Times New Roman" w:hAnsi="Times New Roman"/>
          <w:b w:val="0"/>
          <w:i w:val="0"/>
          <w:sz w:val="24"/>
        </w:rPr>
        <w:t>Aparna Rajith</w:t>
      </w:r>
    </w:p>
    <w:p>
      <w:pPr>
        <w:jc w:val="center"/>
      </w:pPr>
      <w:r>
        <w:rPr>
          <w:rFonts w:ascii="Times New Roman" w:hAnsi="Times New Roman"/>
          <w:b w:val="0"/>
          <w:i w:val="0"/>
          <w:sz w:val="24"/>
        </w:rPr>
        <w:t>September 30, 2026</w:t>
      </w:r>
    </w:p>
    <w:p>
      <w:r>
        <w:br w:type="page"/>
      </w:r>
    </w:p>
    <w:p>
      <w:pPr>
        <w:jc w:val="center"/>
      </w:pPr>
      <w:r>
        <w:rPr>
          <w:rFonts w:ascii="Times New Roman" w:hAnsi="Times New Roman"/>
          <w:b/>
          <w:i w:val="0"/>
          <w:sz w:val="24"/>
        </w:rPr>
        <w:t>AI Coding Assistants and CS1 Learning Outcomes: A Refined Problem Statement, Objectives, and Research Questions</w:t>
      </w:r>
    </w:p>
    <w:p>
      <w:pPr>
        <w:jc w:val="center"/>
      </w:pPr>
      <w:r>
        <w:rPr>
          <w:rFonts w:ascii="Times New Roman" w:hAnsi="Times New Roman"/>
          <w:b/>
          <w:i w:val="0"/>
          <w:sz w:val="24"/>
        </w:rPr>
        <w:t>Problem Statement</w:t>
      </w:r>
    </w:p>
    <w:p>
      <w:pPr>
        <w:ind w:firstLine="720"/>
      </w:pPr>
      <w:r>
        <w:rPr>
          <w:rFonts w:ascii="Times New Roman" w:hAnsi="Times New Roman"/>
          <w:b w:val="0"/>
          <w:i w:val="0"/>
          <w:sz w:val="24"/>
        </w:rPr>
        <w:t>The five studies reviewed across the previous two units don’t produce identical findings, but they share one important limitation. In Kazemitabaar et al.’s (2023) controlled experiment, novices with access to an AI code generator completed more code-authoring tasks and scored higher, and they held a slight, non-significant edge on post-tests given a week later. Across 35 pooled studies, Alanazi et al. (2025) reported a similar performance advantage, but the meta-analysis showed that AI tools gave no significant edge in “learning success or ease of understanding” (Abstract, para. 1). Albadarin et al. (2026) went further, reporting that GenAI-assisted and traditionally taught CS1 students showed “different patterns of critical thinking during debugging” (Abstract, para. 1), even though the traditionally taught group scored higher on core skills with lower-level cognitive demands. Prather et al. (2024) approached the topic from a different angle, noting that “little is currently known about how novices interact with these tools in practice” (Abstract, para. 1); their observations of CS1 students using Copilot revealed cognitive and metacognitive difficulties that performance scores alone would not show. Finally, Alquran and Banitaan’s (2026) survey of 248 students found that beginners, intermediate students, and experts rated their own learning with these tools at roughly the same level.</w:t>
      </w:r>
    </w:p>
    <w:p>
      <w:pPr>
        <w:ind w:firstLine="720"/>
      </w:pPr>
      <w:r>
        <w:rPr>
          <w:rFonts w:ascii="Times New Roman" w:hAnsi="Times New Roman"/>
          <w:b w:val="0"/>
          <w:i w:val="0"/>
          <w:sz w:val="24"/>
        </w:rPr>
        <w:t>Across these five studies, however, measurement stays within the course itself or the weeks immediately after the tool is introduced. None of them reports following students far enough beyond the course to test whether an AI-assisted advantage holds up once the tool is no longer available. That also leaves a second question open: whether students’ positive view of their own learning, which Alanazi et al. (2025) describe as “overwhelmingly positive” (Abstract, para. 1), reflects what they can actually do later without help. That gap doesn’t only matter to researchers. A coding bootcamp, a hiring pipeline, or an exam policy could treat in-class performance with Copilot as evidence of independent ability, and nothing in these studies confirms that assumption. National University’s Dissertation Center guide stresses that a problem statement should explain the consequences of leaving a problem unsolved and identify what is not yet known about it (National University, 2024). In this case, the missing piece is whether short-term gains from AI-assisted CS1 instruction translate into durable, independent programming ability.</w:t>
      </w:r>
    </w:p>
    <w:p>
      <w:pPr>
        <w:jc w:val="center"/>
      </w:pPr>
      <w:r>
        <w:rPr>
          <w:rFonts w:ascii="Times New Roman" w:hAnsi="Times New Roman"/>
          <w:b/>
          <w:i w:val="0"/>
          <w:sz w:val="24"/>
        </w:rPr>
        <w:t>Research Objectives</w:t>
      </w:r>
    </w:p>
    <w:p>
      <w:pPr>
        <w:ind w:firstLine="720"/>
      </w:pPr>
      <w:r>
        <w:rPr>
          <w:rFonts w:ascii="Times New Roman" w:hAnsi="Times New Roman"/>
          <w:b w:val="0"/>
          <w:i w:val="0"/>
          <w:sz w:val="24"/>
        </w:rPr>
        <w:t>Ryan (2022) recommends breaking a broad research aim into a limited number of specific steps. Following that advice, along with the Corporate Finance Institute’s SMART framework (CFI Team, 2023), three objectives address that gap, each tied to a one-semester follow-up. Their opening verbs (</w:t>
      </w:r>
      <w:r>
        <w:rPr>
          <w:rFonts w:ascii="Times New Roman" w:hAnsi="Times New Roman"/>
          <w:i/>
          <w:sz w:val="24"/>
        </w:rPr>
        <w:t>evaluate</w:t>
      </w:r>
      <w:r>
        <w:rPr>
          <w:rFonts w:ascii="Times New Roman" w:hAnsi="Times New Roman"/>
          <w:i w:val="0"/>
          <w:sz w:val="24"/>
        </w:rPr>
        <w:t xml:space="preserve">, </w:t>
      </w:r>
      <w:r>
        <w:rPr>
          <w:rFonts w:ascii="Times New Roman" w:hAnsi="Times New Roman"/>
          <w:i/>
          <w:sz w:val="24"/>
        </w:rPr>
        <w:t>compare</w:t>
      </w:r>
      <w:r>
        <w:rPr>
          <w:rFonts w:ascii="Times New Roman" w:hAnsi="Times New Roman"/>
          <w:i w:val="0"/>
          <w:sz w:val="24"/>
        </w:rPr>
        <w:t xml:space="preserve">, and </w:t>
      </w:r>
      <w:r>
        <w:rPr>
          <w:rFonts w:ascii="Times New Roman" w:hAnsi="Times New Roman"/>
          <w:i/>
          <w:sz w:val="24"/>
        </w:rPr>
        <w:t>determine</w:t>
      </w:r>
      <w:r>
        <w:rPr>
          <w:rFonts w:ascii="Times New Roman" w:hAnsi="Times New Roman"/>
          <w:i w:val="0"/>
          <w:sz w:val="24"/>
        </w:rPr>
        <w:t>) all appear under the Evaluate level of Colorado College’s revised Bloom’s taxonomy page (Colorado College, n.d.):</w:t>
      </w:r>
    </w:p>
    <w:p>
      <w:pPr>
        <w:ind w:left="720"/>
      </w:pPr>
      <w:r>
        <w:rPr>
          <w:rFonts w:ascii="Times New Roman" w:hAnsi="Times New Roman"/>
          <w:b w:val="0"/>
          <w:i w:val="0"/>
          <w:sz w:val="24"/>
        </w:rPr>
        <w:t>1. Evaluate whether the in-course performance advantages of AI-assisted CS1 students over unaided peers persist on an unaided, AI-free assessment administered one full semester after the course ends.</w:t>
      </w:r>
    </w:p>
    <w:p>
      <w:pPr>
        <w:ind w:left="720"/>
      </w:pPr>
      <w:r>
        <w:rPr>
          <w:rFonts w:ascii="Times New Roman" w:hAnsi="Times New Roman"/>
          <w:b w:val="0"/>
          <w:i w:val="0"/>
          <w:sz w:val="24"/>
        </w:rPr>
        <w:t>2. Compare conceptual understanding between students who used an AI coding assistant on at least three graded CS1 assignments and students who completed the same assignments without one, using an identical concept check taken without AI access one semester after the course.</w:t>
      </w:r>
    </w:p>
    <w:p>
      <w:pPr>
        <w:ind w:left="720"/>
      </w:pPr>
      <w:r>
        <w:rPr>
          <w:rFonts w:ascii="Times New Roman" w:hAnsi="Times New Roman"/>
          <w:b w:val="0"/>
          <w:i w:val="0"/>
          <w:sz w:val="24"/>
        </w:rPr>
        <w:t>3. Determine whether students’ self-rated learning at the end of an AI-assisted CS1 course predicts their performance on the unaided assessment given one semester later.</w:t>
      </w:r>
    </w:p>
    <w:p>
      <w:pPr>
        <w:jc w:val="center"/>
      </w:pPr>
      <w:r>
        <w:rPr>
          <w:rFonts w:ascii="Times New Roman" w:hAnsi="Times New Roman"/>
          <w:b/>
          <w:i w:val="0"/>
          <w:sz w:val="24"/>
        </w:rPr>
        <w:t>Research Questions</w:t>
      </w:r>
    </w:p>
    <w:p>
      <w:pPr>
        <w:ind w:firstLine="720"/>
      </w:pPr>
      <w:r>
        <w:rPr>
          <w:rFonts w:ascii="Times New Roman" w:hAnsi="Times New Roman"/>
          <w:b w:val="0"/>
          <w:i w:val="0"/>
          <w:sz w:val="24"/>
        </w:rPr>
        <w:t>Serdikoff (2021) judges a research question by whether its answer is still in doubt, whether it fills a gap in the literature, whether it has practical implications, and whether it is feasible to answer. Each question below is framed with those tests in mind and is tied to one objective:</w:t>
      </w:r>
    </w:p>
    <w:p>
      <w:pPr>
        <w:ind w:left="720"/>
      </w:pPr>
      <w:r>
        <w:rPr>
          <w:rFonts w:ascii="Times New Roman" w:hAnsi="Times New Roman"/>
          <w:b w:val="0"/>
          <w:i w:val="0"/>
          <w:sz w:val="24"/>
        </w:rPr>
        <w:t>1. To what extent do the in-course performance advantages of AI-assisted CS1 students over unaided peers persist on an unaided assessment given one semester after the course ends? (Objective 1)</w:t>
      </w:r>
    </w:p>
    <w:p>
      <w:pPr>
        <w:ind w:left="720"/>
      </w:pPr>
      <w:r>
        <w:rPr>
          <w:rFonts w:ascii="Times New Roman" w:hAnsi="Times New Roman"/>
          <w:b w:val="0"/>
          <w:i w:val="0"/>
          <w:sz w:val="24"/>
        </w:rPr>
        <w:t>2. How does conceptual understanding, measured one semester after the course without AI access, differ between students who used an AI coding assistant on at least three CS1 assignments and those who did not? (Objective 2)</w:t>
      </w:r>
    </w:p>
    <w:p>
      <w:pPr>
        <w:ind w:left="720"/>
      </w:pPr>
      <w:r>
        <w:rPr>
          <w:rFonts w:ascii="Times New Roman" w:hAnsi="Times New Roman"/>
          <w:b w:val="0"/>
          <w:i w:val="0"/>
          <w:sz w:val="24"/>
        </w:rPr>
        <w:t>3. To what extent does students’ self-rated learning at the end of an AI-assisted CS1 course predict their unaided performance one semester later? (Objective 3)</w:t>
      </w:r>
    </w:p>
    <w:p>
      <w:r>
        <w:br w:type="page"/>
      </w:r>
    </w:p>
    <w:p>
      <w:pPr>
        <w:jc w:val="center"/>
      </w:pPr>
      <w:r>
        <w:rPr>
          <w:rFonts w:ascii="Times New Roman" w:hAnsi="Times New Roman"/>
          <w:b/>
          <w:i w:val="0"/>
          <w:sz w:val="24"/>
        </w:rPr>
        <w:t>References</w:t>
      </w:r>
    </w:p>
    <w:p>
      <w:pPr>
        <w:ind w:left="720" w:hanging="720"/>
      </w:pPr>
      <w:r>
        <w:rPr>
          <w:rFonts w:ascii="Times New Roman" w:hAnsi="Times New Roman"/>
          <w:b w:val="0"/>
          <w:i w:val="0"/>
          <w:sz w:val="24"/>
        </w:rPr>
        <w:t xml:space="preserve">Alanazi, M., Soh, B., Samra, H., &amp; Li, A. (2025). The influence of artificial intelligence tools on learning outcomes in computer programming: A systematic review and meta-analysis. </w:t>
      </w:r>
      <w:r>
        <w:rPr>
          <w:rFonts w:ascii="Times New Roman" w:hAnsi="Times New Roman"/>
          <w:b w:val="0"/>
          <w:i/>
          <w:sz w:val="24"/>
        </w:rPr>
        <w:t>Computers</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 xml:space="preserve">(5), 185. </w:t>
      </w:r>
      <w:hyperlink r:id="rId9">
        <w:r>
          <w:rPr>
            <w:rFonts w:ascii="Times New Roman" w:hAnsi="Times New Roman"/>
            <w:sz w:val="24"/>
            <w:color w:val="0563C1"/>
            <w:u w:val="single"/>
          </w:rPr>
          <w:t>https://doi.org/10.3390/computers14050185</w:t>
        </w:r>
      </w:hyperlink>
    </w:p>
    <w:p>
      <w:pPr>
        <w:ind w:left="720" w:hanging="720"/>
      </w:pPr>
      <w:r>
        <w:rPr>
          <w:rFonts w:ascii="Times New Roman" w:hAnsi="Times New Roman"/>
          <w:b w:val="0"/>
          <w:i w:val="0"/>
          <w:sz w:val="24"/>
        </w:rPr>
        <w:t xml:space="preserve">Albadarin, Y., Saqr, M., Pope, N., &amp; Tukiainen, M. (2026). Evaluating the effect of generative AI-assisted debugging on students’ critical thinking. </w:t>
      </w:r>
      <w:r>
        <w:rPr>
          <w:rFonts w:ascii="Times New Roman" w:hAnsi="Times New Roman"/>
          <w:b w:val="0"/>
          <w:i/>
          <w:sz w:val="24"/>
        </w:rPr>
        <w:t>Technology, Knowledge and Learning</w:t>
      </w:r>
      <w:r>
        <w:rPr>
          <w:rFonts w:ascii="Times New Roman" w:hAnsi="Times New Roman"/>
          <w:b w:val="0"/>
          <w:i w:val="0"/>
          <w:sz w:val="24"/>
        </w:rPr>
        <w:t xml:space="preserve">. </w:t>
      </w:r>
      <w:hyperlink r:id="rId10">
        <w:r>
          <w:rPr>
            <w:rFonts w:ascii="Times New Roman" w:hAnsi="Times New Roman"/>
            <w:sz w:val="24"/>
            <w:color w:val="0563C1"/>
            <w:u w:val="single"/>
          </w:rPr>
          <w:t>https://doi.org/10.1007/s10758-026-09998-z</w:t>
        </w:r>
      </w:hyperlink>
    </w:p>
    <w:p>
      <w:pPr>
        <w:ind w:left="720" w:hanging="720"/>
      </w:pPr>
      <w:r>
        <w:rPr>
          <w:rFonts w:ascii="Times New Roman" w:hAnsi="Times New Roman"/>
          <w:b w:val="0"/>
          <w:i w:val="0"/>
          <w:sz w:val="24"/>
        </w:rPr>
        <w:t xml:space="preserve">Alquran, H., &amp; Banitaan, S. (2026). Human–AI collaboration in programming education: Student perspectives on LLM-based coding assistants. </w:t>
      </w:r>
      <w:r>
        <w:rPr>
          <w:rFonts w:ascii="Times New Roman" w:hAnsi="Times New Roman"/>
          <w:b w:val="0"/>
          <w:i/>
          <w:sz w:val="24"/>
        </w:rPr>
        <w:t>Computers</w:t>
      </w:r>
      <w:r>
        <w:rPr>
          <w:rFonts w:ascii="Times New Roman" w:hAnsi="Times New Roman"/>
          <w:b w:val="0"/>
          <w:i w:val="0"/>
          <w:sz w:val="24"/>
        </w:rPr>
        <w:t xml:space="preserve">, </w:t>
      </w:r>
      <w:r>
        <w:rPr>
          <w:rFonts w:ascii="Times New Roman" w:hAnsi="Times New Roman"/>
          <w:b w:val="0"/>
          <w:i/>
          <w:sz w:val="24"/>
        </w:rPr>
        <w:t>15</w:t>
      </w:r>
      <w:r>
        <w:rPr>
          <w:rFonts w:ascii="Times New Roman" w:hAnsi="Times New Roman"/>
          <w:b w:val="0"/>
          <w:i w:val="0"/>
          <w:sz w:val="24"/>
        </w:rPr>
        <w:t xml:space="preserve">(3), 154. </w:t>
      </w:r>
      <w:hyperlink r:id="rId11">
        <w:r>
          <w:rPr>
            <w:rFonts w:ascii="Times New Roman" w:hAnsi="Times New Roman"/>
            <w:sz w:val="24"/>
            <w:color w:val="0563C1"/>
            <w:u w:val="single"/>
          </w:rPr>
          <w:t>https://doi.org/10.3390/computers15030154</w:t>
        </w:r>
      </w:hyperlink>
    </w:p>
    <w:p>
      <w:pPr>
        <w:ind w:left="720" w:hanging="720"/>
      </w:pPr>
      <w:r>
        <w:rPr>
          <w:rFonts w:ascii="Times New Roman" w:hAnsi="Times New Roman"/>
          <w:b w:val="0"/>
          <w:i w:val="0"/>
          <w:sz w:val="24"/>
        </w:rPr>
        <w:t xml:space="preserve">CFI Team. (2023, November 19). </w:t>
      </w:r>
      <w:r>
        <w:rPr>
          <w:rFonts w:ascii="Times New Roman" w:hAnsi="Times New Roman"/>
          <w:b w:val="0"/>
          <w:i/>
          <w:sz w:val="24"/>
        </w:rPr>
        <w:t>SMART goals</w:t>
      </w:r>
      <w:r>
        <w:rPr>
          <w:rFonts w:ascii="Times New Roman" w:hAnsi="Times New Roman"/>
          <w:b w:val="0"/>
          <w:i w:val="0"/>
          <w:sz w:val="24"/>
        </w:rPr>
        <w:t xml:space="preserve">. Corporate Finance Institute. </w:t>
      </w:r>
      <w:hyperlink r:id="rId12">
        <w:r>
          <w:rPr>
            <w:rFonts w:ascii="Times New Roman" w:hAnsi="Times New Roman"/>
            <w:sz w:val="24"/>
            <w:color w:val="0563C1"/>
            <w:u w:val="single"/>
          </w:rPr>
          <w:t>https://corporatefinanceinstitute.com/resources/management/smart-goal/</w:t>
        </w:r>
      </w:hyperlink>
    </w:p>
    <w:p>
      <w:pPr>
        <w:ind w:left="720" w:hanging="720"/>
      </w:pPr>
      <w:r>
        <w:rPr>
          <w:rFonts w:ascii="Times New Roman" w:hAnsi="Times New Roman"/>
          <w:b w:val="0"/>
          <w:i w:val="0"/>
          <w:sz w:val="24"/>
        </w:rPr>
        <w:t xml:space="preserve">Colorado College. (n.d.). </w:t>
      </w:r>
      <w:r>
        <w:rPr>
          <w:rFonts w:ascii="Times New Roman" w:hAnsi="Times New Roman"/>
          <w:b w:val="0"/>
          <w:i/>
          <w:sz w:val="24"/>
        </w:rPr>
        <w:t>Bloom’s revised taxonomy</w:t>
      </w:r>
      <w:r>
        <w:rPr>
          <w:rFonts w:ascii="Times New Roman" w:hAnsi="Times New Roman"/>
          <w:b w:val="0"/>
          <w:i w:val="0"/>
          <w:sz w:val="24"/>
        </w:rPr>
        <w:t xml:space="preserve">. </w:t>
      </w:r>
      <w:hyperlink r:id="rId13">
        <w:r>
          <w:rPr>
            <w:rFonts w:ascii="Times New Roman" w:hAnsi="Times New Roman"/>
            <w:sz w:val="24"/>
            <w:color w:val="0563C1"/>
            <w:u w:val="single"/>
          </w:rPr>
          <w:t>https://www.coloradocollege.edu/other/assessment/how-to-assess-learning/learning-outcomes/blooms-revised-taxonomy.html</w:t>
        </w:r>
      </w:hyperlink>
    </w:p>
    <w:p>
      <w:pPr>
        <w:ind w:left="720" w:hanging="720"/>
      </w:pPr>
      <w:r>
        <w:rPr>
          <w:rFonts w:ascii="Times New Roman" w:hAnsi="Times New Roman"/>
          <w:b w:val="0"/>
          <w:i w:val="0"/>
          <w:sz w:val="24"/>
        </w:rPr>
        <w:t xml:space="preserve">Kazemitabaar, M., Chow, J., Ma, C. K. T., Ericson, B. J., Weintrop, D., &amp; Grossman, T. (2023). Studying the effect of AI code generators on supporting novice learners in introductory programming. In </w:t>
      </w:r>
      <w:r>
        <w:rPr>
          <w:rFonts w:ascii="Times New Roman" w:hAnsi="Times New Roman"/>
          <w:b w:val="0"/>
          <w:i/>
          <w:sz w:val="24"/>
        </w:rPr>
        <w:t>Proceedings of the 2023 CHI Conference on Human Factors in Computing Systems</w:t>
      </w:r>
      <w:r>
        <w:rPr>
          <w:rFonts w:ascii="Times New Roman" w:hAnsi="Times New Roman"/>
          <w:b w:val="0"/>
          <w:i w:val="0"/>
          <w:sz w:val="24"/>
        </w:rPr>
        <w:t xml:space="preserve"> (pp. 1–23). Association for Computing Machinery. </w:t>
      </w:r>
      <w:hyperlink r:id="rId14">
        <w:r>
          <w:rPr>
            <w:rFonts w:ascii="Times New Roman" w:hAnsi="Times New Roman"/>
            <w:sz w:val="24"/>
            <w:color w:val="0563C1"/>
            <w:u w:val="single"/>
          </w:rPr>
          <w:t>https://doi.org/10.1145/3544548.3580919</w:t>
        </w:r>
      </w:hyperlink>
    </w:p>
    <w:p>
      <w:pPr>
        <w:ind w:left="720" w:hanging="720"/>
      </w:pPr>
      <w:r>
        <w:rPr>
          <w:rFonts w:ascii="Times New Roman" w:hAnsi="Times New Roman"/>
          <w:b w:val="0"/>
          <w:i w:val="0"/>
          <w:sz w:val="24"/>
        </w:rPr>
        <w:t xml:space="preserve">National University. (2024, October 30). </w:t>
      </w:r>
      <w:r>
        <w:rPr>
          <w:rFonts w:ascii="Times New Roman" w:hAnsi="Times New Roman"/>
          <w:b w:val="0"/>
          <w:i/>
          <w:sz w:val="24"/>
        </w:rPr>
        <w:t>Chapter 1: Problem statement</w:t>
      </w:r>
      <w:r>
        <w:rPr>
          <w:rFonts w:ascii="Times New Roman" w:hAnsi="Times New Roman"/>
          <w:b w:val="0"/>
          <w:i w:val="0"/>
          <w:sz w:val="24"/>
        </w:rPr>
        <w:t xml:space="preserve">. Dissertation Center. </w:t>
      </w:r>
      <w:hyperlink r:id="rId15">
        <w:r>
          <w:rPr>
            <w:rFonts w:ascii="Times New Roman" w:hAnsi="Times New Roman"/>
            <w:sz w:val="24"/>
            <w:color w:val="0563C1"/>
            <w:u w:val="single"/>
          </w:rPr>
          <w:t>https://resources.nu.edu/c.php?g=1006886&amp;p=7294692</w:t>
        </w:r>
      </w:hyperlink>
    </w:p>
    <w:p>
      <w:pPr>
        <w:ind w:left="720" w:hanging="720"/>
      </w:pPr>
      <w:r>
        <w:rPr>
          <w:rFonts w:ascii="Times New Roman" w:hAnsi="Times New Roman"/>
          <w:b w:val="0"/>
          <w:i w:val="0"/>
          <w:sz w:val="24"/>
        </w:rPr>
        <w:t xml:space="preserve">Prather, J., Reeves, B. N., Denny, P., Becker, B. A., Leinonen, J., Luxton-Reilly, A., Powell, G., Finnie-Ansley, J., &amp; Santos, E. A. (2024). “It’s weird that it knows what I want”: Usability and interactions with Copilot for novice programmers. </w:t>
      </w:r>
      <w:r>
        <w:rPr>
          <w:rFonts w:ascii="Times New Roman" w:hAnsi="Times New Roman"/>
          <w:b w:val="0"/>
          <w:i/>
          <w:sz w:val="24"/>
        </w:rPr>
        <w:t>ACM Transactions on Computer-Human Interaction</w:t>
      </w:r>
      <w:r>
        <w:rPr>
          <w:rFonts w:ascii="Times New Roman" w:hAnsi="Times New Roman"/>
          <w:b w:val="0"/>
          <w:i w:val="0"/>
          <w:sz w:val="24"/>
        </w:rPr>
        <w:t xml:space="preserve">, </w:t>
      </w:r>
      <w:r>
        <w:rPr>
          <w:rFonts w:ascii="Times New Roman" w:hAnsi="Times New Roman"/>
          <w:b w:val="0"/>
          <w:i/>
          <w:sz w:val="24"/>
        </w:rPr>
        <w:t>31</w:t>
      </w:r>
      <w:r>
        <w:rPr>
          <w:rFonts w:ascii="Times New Roman" w:hAnsi="Times New Roman"/>
          <w:b w:val="0"/>
          <w:i w:val="0"/>
          <w:sz w:val="24"/>
        </w:rPr>
        <w:t xml:space="preserve">(1), 1–31. </w:t>
      </w:r>
      <w:hyperlink r:id="rId16">
        <w:r>
          <w:rPr>
            <w:rFonts w:ascii="Times New Roman" w:hAnsi="Times New Roman"/>
            <w:sz w:val="24"/>
            <w:color w:val="0563C1"/>
            <w:u w:val="single"/>
          </w:rPr>
          <w:t>https://doi.org/10.1145/3617367</w:t>
        </w:r>
      </w:hyperlink>
    </w:p>
    <w:p>
      <w:pPr>
        <w:ind w:left="720" w:hanging="720"/>
      </w:pPr>
      <w:r>
        <w:rPr>
          <w:rFonts w:ascii="Times New Roman" w:hAnsi="Times New Roman"/>
          <w:b w:val="0"/>
          <w:i w:val="0"/>
          <w:sz w:val="24"/>
        </w:rPr>
        <w:t xml:space="preserve">Ryan, E. (2022, July 12). </w:t>
      </w:r>
      <w:r>
        <w:rPr>
          <w:rFonts w:ascii="Times New Roman" w:hAnsi="Times New Roman"/>
          <w:b w:val="0"/>
          <w:i/>
          <w:sz w:val="24"/>
        </w:rPr>
        <w:t>Research objectives | Definition &amp; examples</w:t>
      </w:r>
      <w:r>
        <w:rPr>
          <w:rFonts w:ascii="Times New Roman" w:hAnsi="Times New Roman"/>
          <w:b w:val="0"/>
          <w:i w:val="0"/>
          <w:sz w:val="24"/>
        </w:rPr>
        <w:t xml:space="preserve">. Scribbr. </w:t>
      </w:r>
      <w:hyperlink r:id="rId17">
        <w:r>
          <w:rPr>
            <w:rFonts w:ascii="Times New Roman" w:hAnsi="Times New Roman"/>
            <w:sz w:val="24"/>
            <w:color w:val="0563C1"/>
            <w:u w:val="single"/>
          </w:rPr>
          <w:t>https://www.scribbr.com/research-process/research-objectives/</w:t>
        </w:r>
      </w:hyperlink>
    </w:p>
    <w:p>
      <w:pPr>
        <w:ind w:left="720" w:hanging="720"/>
      </w:pPr>
      <w:r>
        <w:rPr>
          <w:rFonts w:ascii="Times New Roman" w:hAnsi="Times New Roman"/>
          <w:b w:val="0"/>
          <w:i w:val="0"/>
          <w:sz w:val="24"/>
        </w:rPr>
        <w:t xml:space="preserve">Serdikoff, S. (2021). </w:t>
      </w:r>
      <w:r>
        <w:rPr>
          <w:rFonts w:ascii="Times New Roman" w:hAnsi="Times New Roman"/>
          <w:b w:val="0"/>
          <w:i/>
          <w:sz w:val="24"/>
        </w:rPr>
        <w:t>Research methods for the behavioral sciences</w:t>
      </w:r>
      <w:r>
        <w:rPr>
          <w:rFonts w:ascii="Times New Roman" w:hAnsi="Times New Roman"/>
          <w:b w:val="0"/>
          <w:i w:val="0"/>
          <w:sz w:val="24"/>
        </w:rPr>
        <w:t xml:space="preserve"> (5th ed.). GALILEO Open Learning Materials. </w:t>
      </w:r>
      <w:hyperlink r:id="rId18">
        <w:r>
          <w:rPr>
            <w:rFonts w:ascii="Times New Roman" w:hAnsi="Times New Roman"/>
            <w:sz w:val="24"/>
            <w:color w:val="0563C1"/>
            <w:u w:val="single"/>
          </w:rPr>
          <w:t>https://oer.galileo.usg.edu/psychology-textbooks/12/</w:t>
        </w:r>
      </w:hyperlink>
    </w:p>
    <w:sectPr w:rsidR="00FC693F" w:rsidRPr="0006063C" w:rsidSect="00034616">
      <w:headerReference w:type="default" r:id="rI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90/computers14050185" TargetMode="External"/><Relationship Id="rId10" Type="http://schemas.openxmlformats.org/officeDocument/2006/relationships/hyperlink" Target="https://doi.org/10.1007/s10758-026-09998-z" TargetMode="External"/><Relationship Id="rId11" Type="http://schemas.openxmlformats.org/officeDocument/2006/relationships/hyperlink" Target="https://doi.org/10.3390/computers15030154" TargetMode="External"/><Relationship Id="rId12" Type="http://schemas.openxmlformats.org/officeDocument/2006/relationships/hyperlink" Target="https://corporatefinanceinstitute.com/resources/management/smart-goal/" TargetMode="External"/><Relationship Id="rId13" Type="http://schemas.openxmlformats.org/officeDocument/2006/relationships/hyperlink" Target="https://www.coloradocollege.edu/other/assessment/how-to-assess-learning/learning-outcomes/blooms-revised-taxonomy.html" TargetMode="External"/><Relationship Id="rId14" Type="http://schemas.openxmlformats.org/officeDocument/2006/relationships/hyperlink" Target="https://doi.org/10.1145/3544548.3580919" TargetMode="External"/><Relationship Id="rId15" Type="http://schemas.openxmlformats.org/officeDocument/2006/relationships/hyperlink" Target="https://resources.nu.edu/c.php?g=1006886&amp;p=7294692" TargetMode="External"/><Relationship Id="rId16" Type="http://schemas.openxmlformats.org/officeDocument/2006/relationships/hyperlink" Target="https://doi.org/10.1145/3617367" TargetMode="External"/><Relationship Id="rId17" Type="http://schemas.openxmlformats.org/officeDocument/2006/relationships/hyperlink" Target="https://www.scribbr.com/research-process/research-objectives/" TargetMode="External"/><Relationship Id="rId18" Type="http://schemas.openxmlformats.org/officeDocument/2006/relationships/hyperlink" Target="https://oer.galileo.usg.edu/psychology-textbooks/12/" TargetMode="External"/><Relationship Id="rId1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Pages>
  <Words>963</Words>
  <Characters>6083</Characters>
  <Application>Microsoft Office Word</Application>
  <DocSecurity>0</DocSecurity>
  <Lines>88</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Wasir Jayed Rafi</dc:creator>
  <cp:keywords/>
  <dc:description/>
  <cp:lastModifiedBy>S M Wasir Jayed Rafi</cp:lastModifiedBy>
  <cp:revision>1</cp:revision>
  <dcterms:created xsi:type="dcterms:W3CDTF">2026-09-28T19:05:00Z</dcterms:created>
  <dcterms:modified xsi:type="dcterms:W3CDTF">2026-09-28T22:50:00Z</dcterms:modified>
  <cp:category/>
</cp:coreProperties>
</file>