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078E63" w14:textId="41B49538" w:rsidR="00CA5FFC" w:rsidRPr="00906F1C" w:rsidRDefault="323048E2" w:rsidP="7F82E29A">
      <w:pPr>
        <w:pBdr>
          <w:bottom w:val="single" w:sz="4" w:space="4" w:color="000000"/>
        </w:pBdr>
        <w:rPr>
          <w:rFonts w:ascii="Arial" w:eastAsia="Times New Roman" w:hAnsi="Arial" w:cs="Arial"/>
          <w:b/>
          <w:bCs/>
          <w:sz w:val="23"/>
          <w:szCs w:val="23"/>
        </w:rPr>
      </w:pPr>
      <w:r w:rsidRPr="00906F1C">
        <w:rPr>
          <w:rFonts w:ascii="Arial" w:eastAsia="Times New Roman" w:hAnsi="Arial" w:cs="Arial"/>
          <w:b/>
          <w:bCs/>
          <w:sz w:val="23"/>
          <w:szCs w:val="23"/>
        </w:rPr>
        <w:t>Urban Path Co. Financial Ratios Calculation</w:t>
      </w:r>
      <w:r w:rsidR="061D3B39" w:rsidRPr="00906F1C">
        <w:rPr>
          <w:rFonts w:ascii="Arial" w:eastAsia="Times New Roman" w:hAnsi="Arial" w:cs="Arial"/>
          <w:b/>
          <w:bCs/>
          <w:sz w:val="23"/>
          <w:szCs w:val="23"/>
        </w:rPr>
        <w:t xml:space="preserve"> &amp; Interpretation</w:t>
      </w:r>
    </w:p>
    <w:p w14:paraId="23D26694" w14:textId="02480775" w:rsidR="00906F1C" w:rsidRPr="00906F1C" w:rsidRDefault="00906F1C" w:rsidP="00906F1C">
      <w:pPr>
        <w:pStyle w:val="NormalWeb"/>
        <w:spacing w:before="0" w:beforeAutospacing="0" w:after="0" w:afterAutospacing="0"/>
        <w:jc w:val="both"/>
        <w:rPr>
          <w:rFonts w:ascii="Arial" w:eastAsiaTheme="majorEastAsia" w:hAnsi="Arial" w:cs="Arial"/>
          <w:color w:val="000000" w:themeColor="text1"/>
          <w:sz w:val="23"/>
          <w:szCs w:val="23"/>
        </w:rPr>
      </w:pPr>
      <w:r w:rsidRPr="00906F1C">
        <w:rPr>
          <w:rFonts w:ascii="Arial" w:eastAsiaTheme="majorEastAsia" w:hAnsi="Arial" w:cs="Arial"/>
          <w:b/>
          <w:color w:val="000000" w:themeColor="text1"/>
          <w:sz w:val="23"/>
          <w:szCs w:val="23"/>
        </w:rPr>
        <w:t>Note:</w:t>
      </w:r>
      <w:r>
        <w:rPr>
          <w:rFonts w:ascii="Arial" w:eastAsiaTheme="majorEastAsia" w:hAnsi="Arial" w:cs="Arial"/>
          <w:color w:val="000000" w:themeColor="text1"/>
          <w:sz w:val="23"/>
          <w:szCs w:val="23"/>
        </w:rPr>
        <w:t xml:space="preserve"> </w:t>
      </w: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After c</w:t>
      </w: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ompleting the calculations,</w:t>
      </w: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 xml:space="preserve"> please write a 300–</w:t>
      </w: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400-word</w:t>
      </w: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 xml:space="preserve"> interpretation of what these ratios reveal about Urban Path Co.’s liquidity and operational efficiency across 2022 and 2023.</w:t>
      </w:r>
    </w:p>
    <w:p w14:paraId="59B606C5" w14:textId="77777777" w:rsidR="00906F1C" w:rsidRPr="00906F1C" w:rsidRDefault="00906F1C" w:rsidP="00906F1C">
      <w:pPr>
        <w:pStyle w:val="NormalWeb"/>
        <w:spacing w:before="0" w:beforeAutospacing="0" w:after="0" w:afterAutospacing="0"/>
        <w:jc w:val="both"/>
        <w:rPr>
          <w:rFonts w:ascii="Arial" w:eastAsiaTheme="majorEastAsia" w:hAnsi="Arial" w:cs="Arial"/>
          <w:color w:val="000000" w:themeColor="text1"/>
          <w:sz w:val="23"/>
          <w:szCs w:val="23"/>
        </w:rPr>
      </w:pPr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Be sure to cite the cou</w:t>
      </w:r>
      <w:bookmarkStart w:id="0" w:name="_GoBack"/>
      <w:bookmarkEnd w:id="0"/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rse textbook (</w:t>
      </w:r>
      <w:proofErr w:type="spellStart"/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OpenStax</w:t>
      </w:r>
      <w:proofErr w:type="spellEnd"/>
      <w:r w:rsidRPr="00906F1C">
        <w:rPr>
          <w:rFonts w:ascii="Arial" w:eastAsiaTheme="majorEastAsia" w:hAnsi="Arial" w:cs="Arial"/>
          <w:color w:val="000000" w:themeColor="text1"/>
          <w:sz w:val="23"/>
          <w:szCs w:val="23"/>
        </w:rPr>
        <w:t>, Principles of Accounting, Vol. 1, Ch. 13) or other credible sources in APA style.</w:t>
      </w:r>
    </w:p>
    <w:p w14:paraId="06549DE9" w14:textId="7D0C6356" w:rsidR="7F82E29A" w:rsidRPr="00906F1C" w:rsidRDefault="7F82E29A" w:rsidP="7F82E29A">
      <w:pPr>
        <w:rPr>
          <w:rFonts w:ascii="Arial" w:eastAsia="Times New Roman" w:hAnsi="Arial" w:cs="Arial"/>
          <w:b/>
          <w:bCs/>
          <w:sz w:val="23"/>
          <w:szCs w:val="23"/>
        </w:rPr>
      </w:pPr>
    </w:p>
    <w:p w14:paraId="434AB5CF" w14:textId="02260D47" w:rsidR="53B9AC37" w:rsidRPr="00906F1C" w:rsidRDefault="53B9AC37" w:rsidP="7F82E2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3"/>
          <w:szCs w:val="23"/>
        </w:rPr>
      </w:pPr>
      <w:r w:rsidRPr="00906F1C">
        <w:rPr>
          <w:rFonts w:ascii="Arial" w:eastAsia="Times New Roman" w:hAnsi="Arial" w:cs="Arial"/>
          <w:b/>
          <w:bCs/>
          <w:sz w:val="23"/>
          <w:szCs w:val="23"/>
        </w:rPr>
        <w:t>Calculation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55"/>
        <w:gridCol w:w="3030"/>
        <w:gridCol w:w="3060"/>
        <w:gridCol w:w="3119"/>
      </w:tblGrid>
      <w:tr w:rsidR="7F82E29A" w:rsidRPr="00906F1C" w14:paraId="7A90A1BF" w14:textId="77777777" w:rsidTr="7F82E29A">
        <w:trPr>
          <w:trHeight w:val="300"/>
        </w:trPr>
        <w:tc>
          <w:tcPr>
            <w:tcW w:w="3855" w:type="dxa"/>
            <w:shd w:val="clear" w:color="auto" w:fill="F2F2F2" w:themeFill="background1" w:themeFillShade="F2"/>
            <w:vAlign w:val="center"/>
          </w:tcPr>
          <w:p w14:paraId="412D6424" w14:textId="22C4E89E" w:rsidR="32758679" w:rsidRPr="00906F1C" w:rsidRDefault="32758679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Ratio</w:t>
            </w:r>
          </w:p>
        </w:tc>
        <w:tc>
          <w:tcPr>
            <w:tcW w:w="3030" w:type="dxa"/>
            <w:shd w:val="clear" w:color="auto" w:fill="F2F2F2" w:themeFill="background1" w:themeFillShade="F2"/>
            <w:vAlign w:val="center"/>
          </w:tcPr>
          <w:p w14:paraId="1BB92EF0" w14:textId="29D82B88" w:rsidR="32758679" w:rsidRPr="00906F1C" w:rsidRDefault="32758679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Formula</w:t>
            </w:r>
          </w:p>
        </w:tc>
        <w:tc>
          <w:tcPr>
            <w:tcW w:w="3060" w:type="dxa"/>
            <w:shd w:val="clear" w:color="auto" w:fill="F2F2F2" w:themeFill="background1" w:themeFillShade="F2"/>
            <w:vAlign w:val="center"/>
          </w:tcPr>
          <w:p w14:paraId="6C0D05C5" w14:textId="6927BF4D" w:rsidR="32758679" w:rsidRPr="00906F1C" w:rsidRDefault="32758679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 xml:space="preserve">2022 </w:t>
            </w:r>
          </w:p>
          <w:p w14:paraId="07DA7679" w14:textId="23B62C71" w:rsidR="32758679" w:rsidRPr="00906F1C" w:rsidRDefault="32758679" w:rsidP="7F82E29A">
            <w:pPr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sz w:val="23"/>
                <w:szCs w:val="23"/>
              </w:rPr>
              <w:t>(Calculation &amp; R</w:t>
            </w:r>
            <w:r w:rsidR="6CC7EF7D" w:rsidRPr="00906F1C">
              <w:rPr>
                <w:rFonts w:ascii="Arial" w:eastAsia="Times New Roman" w:hAnsi="Arial" w:cs="Arial"/>
                <w:sz w:val="23"/>
                <w:szCs w:val="23"/>
              </w:rPr>
              <w:t>esult)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 w14:paraId="3DCCF1C8" w14:textId="285261FD" w:rsidR="32758679" w:rsidRPr="00906F1C" w:rsidRDefault="32758679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  <w:t>2023</w:t>
            </w:r>
          </w:p>
          <w:p w14:paraId="08005253" w14:textId="2F93263B" w:rsidR="4AA83FE6" w:rsidRPr="00906F1C" w:rsidRDefault="4AA83FE6" w:rsidP="7F82E29A">
            <w:pPr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sz w:val="23"/>
                <w:szCs w:val="23"/>
              </w:rPr>
              <w:t>(Calculation &amp; Result)</w:t>
            </w:r>
          </w:p>
        </w:tc>
      </w:tr>
      <w:tr w:rsidR="7F82E29A" w:rsidRPr="00906F1C" w14:paraId="1AA984A2" w14:textId="77777777" w:rsidTr="7F82E29A">
        <w:trPr>
          <w:trHeight w:val="300"/>
        </w:trPr>
        <w:tc>
          <w:tcPr>
            <w:tcW w:w="3855" w:type="dxa"/>
          </w:tcPr>
          <w:p w14:paraId="6F6ECCC1" w14:textId="34D03654" w:rsidR="32758679" w:rsidRPr="00906F1C" w:rsidRDefault="32758679" w:rsidP="7F82E29A">
            <w:pPr>
              <w:shd w:val="clear" w:color="auto" w:fill="FFFFFF" w:themeFill="background1"/>
              <w:spacing w:line="276" w:lineRule="auto"/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color w:val="1D2125"/>
                <w:sz w:val="23"/>
                <w:szCs w:val="23"/>
              </w:rPr>
              <w:t>Accounts Receivable Turnover Ratio</w:t>
            </w:r>
          </w:p>
        </w:tc>
        <w:tc>
          <w:tcPr>
            <w:tcW w:w="3030" w:type="dxa"/>
          </w:tcPr>
          <w:p w14:paraId="3FCD1AB1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060" w:type="dxa"/>
          </w:tcPr>
          <w:p w14:paraId="6DBC0E7A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119" w:type="dxa"/>
          </w:tcPr>
          <w:p w14:paraId="3DA481E0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</w:tr>
      <w:tr w:rsidR="7F82E29A" w:rsidRPr="00906F1C" w14:paraId="6499F509" w14:textId="77777777" w:rsidTr="7F82E29A">
        <w:trPr>
          <w:trHeight w:val="300"/>
        </w:trPr>
        <w:tc>
          <w:tcPr>
            <w:tcW w:w="3855" w:type="dxa"/>
          </w:tcPr>
          <w:p w14:paraId="7AE7D256" w14:textId="63B53EDA" w:rsidR="32758679" w:rsidRPr="00906F1C" w:rsidRDefault="32758679" w:rsidP="7F82E29A">
            <w:pPr>
              <w:shd w:val="clear" w:color="auto" w:fill="FFFFFF" w:themeFill="background1"/>
              <w:spacing w:line="276" w:lineRule="auto"/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color w:val="1D2125"/>
                <w:sz w:val="23"/>
                <w:szCs w:val="23"/>
              </w:rPr>
              <w:t>Number of Days' Sales in Receivables Ratio</w:t>
            </w:r>
          </w:p>
        </w:tc>
        <w:tc>
          <w:tcPr>
            <w:tcW w:w="3030" w:type="dxa"/>
          </w:tcPr>
          <w:p w14:paraId="30004EEF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060" w:type="dxa"/>
          </w:tcPr>
          <w:p w14:paraId="46904A19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119" w:type="dxa"/>
          </w:tcPr>
          <w:p w14:paraId="7970D01F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</w:tr>
      <w:tr w:rsidR="7F82E29A" w:rsidRPr="00906F1C" w14:paraId="37888E94" w14:textId="77777777" w:rsidTr="7F82E29A">
        <w:trPr>
          <w:trHeight w:val="300"/>
        </w:trPr>
        <w:tc>
          <w:tcPr>
            <w:tcW w:w="3855" w:type="dxa"/>
          </w:tcPr>
          <w:p w14:paraId="5AB7F9CA" w14:textId="13F910C0" w:rsidR="32758679" w:rsidRPr="00906F1C" w:rsidRDefault="32758679" w:rsidP="7F82E29A">
            <w:pPr>
              <w:shd w:val="clear" w:color="auto" w:fill="FFFFFF" w:themeFill="background1"/>
              <w:spacing w:line="276" w:lineRule="auto"/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color w:val="1D2125"/>
                <w:sz w:val="23"/>
                <w:szCs w:val="23"/>
              </w:rPr>
              <w:t>Inventory Turnover Ratio</w:t>
            </w:r>
          </w:p>
        </w:tc>
        <w:tc>
          <w:tcPr>
            <w:tcW w:w="3030" w:type="dxa"/>
          </w:tcPr>
          <w:p w14:paraId="6D5D5C9D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060" w:type="dxa"/>
          </w:tcPr>
          <w:p w14:paraId="5FCDA3D0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119" w:type="dxa"/>
          </w:tcPr>
          <w:p w14:paraId="33E00F03" w14:textId="1D69CB3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</w:tr>
      <w:tr w:rsidR="7F82E29A" w:rsidRPr="00906F1C" w14:paraId="3A03031C" w14:textId="77777777" w:rsidTr="7F82E29A">
        <w:trPr>
          <w:trHeight w:val="300"/>
        </w:trPr>
        <w:tc>
          <w:tcPr>
            <w:tcW w:w="3855" w:type="dxa"/>
          </w:tcPr>
          <w:p w14:paraId="4A8C07A2" w14:textId="6A695EBC" w:rsidR="32758679" w:rsidRPr="00906F1C" w:rsidRDefault="32758679" w:rsidP="7F82E29A">
            <w:pPr>
              <w:shd w:val="clear" w:color="auto" w:fill="FFFFFF" w:themeFill="background1"/>
              <w:spacing w:line="276" w:lineRule="auto"/>
              <w:rPr>
                <w:rFonts w:ascii="Arial" w:eastAsia="Times New Roman" w:hAnsi="Arial" w:cs="Arial"/>
                <w:sz w:val="23"/>
                <w:szCs w:val="23"/>
              </w:rPr>
            </w:pPr>
            <w:r w:rsidRPr="00906F1C">
              <w:rPr>
                <w:rFonts w:ascii="Arial" w:eastAsia="Times New Roman" w:hAnsi="Arial" w:cs="Arial"/>
                <w:color w:val="1D2125"/>
                <w:sz w:val="23"/>
                <w:szCs w:val="23"/>
              </w:rPr>
              <w:t>Days' Sales in Inventory Ratio</w:t>
            </w:r>
          </w:p>
        </w:tc>
        <w:tc>
          <w:tcPr>
            <w:tcW w:w="3030" w:type="dxa"/>
          </w:tcPr>
          <w:p w14:paraId="4F929FA7" w14:textId="7C28307E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060" w:type="dxa"/>
          </w:tcPr>
          <w:p w14:paraId="64F0E5A5" w14:textId="77EDA4B2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  <w:tc>
          <w:tcPr>
            <w:tcW w:w="3119" w:type="dxa"/>
          </w:tcPr>
          <w:p w14:paraId="3598612F" w14:textId="59949F72" w:rsidR="7F82E29A" w:rsidRPr="00906F1C" w:rsidRDefault="7F82E29A" w:rsidP="7F82E29A">
            <w:pPr>
              <w:rPr>
                <w:rFonts w:ascii="Arial" w:eastAsia="Times New Roman" w:hAnsi="Arial" w:cs="Arial"/>
                <w:b/>
                <w:bCs/>
                <w:sz w:val="23"/>
                <w:szCs w:val="23"/>
              </w:rPr>
            </w:pPr>
          </w:p>
        </w:tc>
      </w:tr>
    </w:tbl>
    <w:p w14:paraId="15E0E2BF" w14:textId="36CD2D81" w:rsidR="7F82E29A" w:rsidRPr="00906F1C" w:rsidRDefault="7F82E29A" w:rsidP="7F82E29A">
      <w:pPr>
        <w:rPr>
          <w:rFonts w:ascii="Arial" w:eastAsia="Times New Roman" w:hAnsi="Arial" w:cs="Arial"/>
          <w:b/>
          <w:bCs/>
          <w:sz w:val="23"/>
          <w:szCs w:val="23"/>
        </w:rPr>
      </w:pPr>
    </w:p>
    <w:p w14:paraId="78578959" w14:textId="77777777" w:rsidR="00906F1C" w:rsidRPr="00906F1C" w:rsidRDefault="00906F1C" w:rsidP="7F82E29A">
      <w:pPr>
        <w:rPr>
          <w:rFonts w:ascii="Arial" w:eastAsia="Times New Roman" w:hAnsi="Arial" w:cs="Arial"/>
          <w:b/>
          <w:bCs/>
          <w:sz w:val="23"/>
          <w:szCs w:val="23"/>
        </w:rPr>
      </w:pPr>
    </w:p>
    <w:p w14:paraId="0616CAD6" w14:textId="0B2A906C" w:rsidR="5F41BC07" w:rsidRPr="00906F1C" w:rsidRDefault="5F41BC07" w:rsidP="7F82E29A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b/>
          <w:bCs/>
          <w:sz w:val="23"/>
          <w:szCs w:val="23"/>
        </w:rPr>
      </w:pPr>
      <w:r w:rsidRPr="00906F1C">
        <w:rPr>
          <w:rFonts w:ascii="Arial" w:eastAsia="Times New Roman" w:hAnsi="Arial" w:cs="Arial"/>
          <w:b/>
          <w:bCs/>
          <w:sz w:val="23"/>
          <w:szCs w:val="23"/>
        </w:rPr>
        <w:t>Interpretation</w:t>
      </w:r>
      <w:r w:rsidR="770FE3E3" w:rsidRPr="00906F1C">
        <w:rPr>
          <w:rFonts w:ascii="Arial" w:eastAsia="Times New Roman" w:hAnsi="Arial" w:cs="Arial"/>
          <w:b/>
          <w:bCs/>
          <w:sz w:val="23"/>
          <w:szCs w:val="23"/>
        </w:rPr>
        <w:t xml:space="preserve"> of Urban Path Co.’s Liquidity and Operational Efficiency</w:t>
      </w:r>
    </w:p>
    <w:sectPr w:rsidR="5F41BC07" w:rsidRPr="00906F1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97B827"/>
    <w:multiLevelType w:val="hybridMultilevel"/>
    <w:tmpl w:val="F046584A"/>
    <w:lvl w:ilvl="0" w:tplc="8370FC14">
      <w:start w:val="1"/>
      <w:numFmt w:val="decimal"/>
      <w:lvlText w:val="%1."/>
      <w:lvlJc w:val="left"/>
      <w:pPr>
        <w:ind w:left="360" w:hanging="360"/>
      </w:pPr>
    </w:lvl>
    <w:lvl w:ilvl="1" w:tplc="442E0F22">
      <w:start w:val="1"/>
      <w:numFmt w:val="lowerLetter"/>
      <w:lvlText w:val="%2."/>
      <w:lvlJc w:val="left"/>
      <w:pPr>
        <w:ind w:left="1080" w:hanging="360"/>
      </w:pPr>
    </w:lvl>
    <w:lvl w:ilvl="2" w:tplc="02B64B58">
      <w:start w:val="1"/>
      <w:numFmt w:val="lowerRoman"/>
      <w:lvlText w:val="%3."/>
      <w:lvlJc w:val="right"/>
      <w:pPr>
        <w:ind w:left="1800" w:hanging="180"/>
      </w:pPr>
    </w:lvl>
    <w:lvl w:ilvl="3" w:tplc="E06C2058">
      <w:start w:val="1"/>
      <w:numFmt w:val="decimal"/>
      <w:lvlText w:val="%4."/>
      <w:lvlJc w:val="left"/>
      <w:pPr>
        <w:ind w:left="2520" w:hanging="360"/>
      </w:pPr>
    </w:lvl>
    <w:lvl w:ilvl="4" w:tplc="47341FB2">
      <w:start w:val="1"/>
      <w:numFmt w:val="lowerLetter"/>
      <w:lvlText w:val="%5."/>
      <w:lvlJc w:val="left"/>
      <w:pPr>
        <w:ind w:left="3240" w:hanging="360"/>
      </w:pPr>
    </w:lvl>
    <w:lvl w:ilvl="5" w:tplc="67802B4C">
      <w:start w:val="1"/>
      <w:numFmt w:val="lowerRoman"/>
      <w:lvlText w:val="%6."/>
      <w:lvlJc w:val="right"/>
      <w:pPr>
        <w:ind w:left="3960" w:hanging="180"/>
      </w:pPr>
    </w:lvl>
    <w:lvl w:ilvl="6" w:tplc="6106987C">
      <w:start w:val="1"/>
      <w:numFmt w:val="decimal"/>
      <w:lvlText w:val="%7."/>
      <w:lvlJc w:val="left"/>
      <w:pPr>
        <w:ind w:left="4680" w:hanging="360"/>
      </w:pPr>
    </w:lvl>
    <w:lvl w:ilvl="7" w:tplc="67466622">
      <w:start w:val="1"/>
      <w:numFmt w:val="lowerLetter"/>
      <w:lvlText w:val="%8."/>
      <w:lvlJc w:val="left"/>
      <w:pPr>
        <w:ind w:left="5400" w:hanging="360"/>
      </w:pPr>
    </w:lvl>
    <w:lvl w:ilvl="8" w:tplc="8E04CF1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725210"/>
    <w:multiLevelType w:val="multilevel"/>
    <w:tmpl w:val="4B101E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1F5EFB"/>
    <w:rsid w:val="00906F1C"/>
    <w:rsid w:val="00CA5FFC"/>
    <w:rsid w:val="061D3B39"/>
    <w:rsid w:val="0E324217"/>
    <w:rsid w:val="1EB154D1"/>
    <w:rsid w:val="2262DC44"/>
    <w:rsid w:val="26538C97"/>
    <w:rsid w:val="27E08120"/>
    <w:rsid w:val="2D62367D"/>
    <w:rsid w:val="323048E2"/>
    <w:rsid w:val="32758679"/>
    <w:rsid w:val="3E1F5EFB"/>
    <w:rsid w:val="4AA83FE6"/>
    <w:rsid w:val="53B9AC37"/>
    <w:rsid w:val="59B84501"/>
    <w:rsid w:val="5A2FE8FF"/>
    <w:rsid w:val="5F27590D"/>
    <w:rsid w:val="5F41BC07"/>
    <w:rsid w:val="6510A73F"/>
    <w:rsid w:val="6CC7EF7D"/>
    <w:rsid w:val="6EF4ACE1"/>
    <w:rsid w:val="770FE3E3"/>
    <w:rsid w:val="77892CF7"/>
    <w:rsid w:val="7F82E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5EFB"/>
  <w15:chartTrackingRefBased/>
  <w15:docId w15:val="{9AC779FF-11C7-4D02-9BCA-253940B41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906F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081214078BE44AC7506165CBC1DED" ma:contentTypeVersion="8" ma:contentTypeDescription="Create a new document." ma:contentTypeScope="" ma:versionID="a6210f17089572008a1ccf74a3ef44bf">
  <xsd:schema xmlns:xsd="http://www.w3.org/2001/XMLSchema" xmlns:xs="http://www.w3.org/2001/XMLSchema" xmlns:p="http://schemas.microsoft.com/office/2006/metadata/properties" xmlns:ns2="adc7a3b3-73b9-47a0-a994-76d0e2b1ae74" targetNamespace="http://schemas.microsoft.com/office/2006/metadata/properties" ma:root="true" ma:fieldsID="f67fbc6b62abe53e3305589431797c1a" ns2:_="">
    <xsd:import namespace="adc7a3b3-73b9-47a0-a994-76d0e2b1ae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7a3b3-73b9-47a0-a994-76d0e2b1ae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9E0361-C555-4FA0-BEDE-A9854E9B6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7a3b3-73b9-47a0-a994-76d0e2b1a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42D10D-0A2A-4FB8-9D23-482D953F5A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EA949CC-B4F6-4E3B-9958-6CF1BBC04B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Marjuan</dc:creator>
  <cp:keywords/>
  <dc:description/>
  <cp:lastModifiedBy>Aloysius </cp:lastModifiedBy>
  <cp:revision>2</cp:revision>
  <dcterms:created xsi:type="dcterms:W3CDTF">2025-09-01T19:41:00Z</dcterms:created>
  <dcterms:modified xsi:type="dcterms:W3CDTF">2025-09-01T19:41:00Z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0x01010086F081214078BE44AC7506165CBC1DED</vt:lpwstr>
  </property>
</Properties>
</file>