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left"/>
      </w:pPr>
    </w:p>
    <w:p>
      <w:pPr>
        <w:spacing w:line="480" w:lineRule="auto" w:after="0" w:before="0"/>
        <w:jc w:val="left"/>
      </w:pPr>
    </w:p>
    <w:p>
      <w:pPr>
        <w:spacing w:line="480" w:lineRule="auto" w:after="0" w:before="0"/>
        <w:jc w:val="left"/>
      </w:pPr>
    </w:p>
    <w:p>
      <w:pPr>
        <w:spacing w:line="480" w:lineRule="auto" w:after="0" w:before="0"/>
        <w:jc w:val="center"/>
      </w:pPr>
      <w:r>
        <w:rPr>
          <w:rFonts w:ascii="Times New Roman" w:hAnsi="Times New Roman"/>
          <w:b/>
          <w:i w:val="0"/>
          <w:sz w:val="24"/>
        </w:rPr>
        <w:t>Financial Statements and Stakeholder Decision-Making: Analyzing Urban Path Co.'s Transactions</w:t>
      </w:r>
    </w:p>
    <w:p>
      <w:pPr>
        <w:spacing w:line="480" w:lineRule="auto" w:after="0" w:before="0"/>
        <w:jc w:val="center"/>
      </w:pPr>
      <w:r>
        <w:rPr>
          <w:rFonts w:ascii="Times New Roman" w:hAnsi="Times New Roman"/>
          <w:b w:val="0"/>
          <w:i w:val="0"/>
          <w:sz w:val="24"/>
        </w:rPr>
        <w:t>Saira Binte Shahriar</w:t>
      </w:r>
    </w:p>
    <w:p>
      <w:pPr>
        <w:spacing w:line="480" w:lineRule="auto" w:after="0" w:before="0"/>
        <w:jc w:val="center"/>
      </w:pPr>
      <w:r>
        <w:rPr>
          <w:rFonts w:ascii="Times New Roman" w:hAnsi="Times New Roman"/>
          <w:b w:val="0"/>
          <w:i w:val="0"/>
          <w:sz w:val="24"/>
        </w:rPr>
        <w:t>University of the People</w:t>
      </w:r>
    </w:p>
    <w:p>
      <w:pPr>
        <w:spacing w:line="480" w:lineRule="auto" w:after="0" w:before="0"/>
        <w:jc w:val="center"/>
      </w:pPr>
      <w:r>
        <w:rPr>
          <w:rFonts w:ascii="Times New Roman" w:hAnsi="Times New Roman"/>
          <w:b w:val="0"/>
          <w:i w:val="0"/>
          <w:sz w:val="24"/>
        </w:rPr>
        <w:t>BUS 1102-01: Basic Accounting, AY2027-T1</w:t>
      </w:r>
    </w:p>
    <w:p>
      <w:pPr>
        <w:spacing w:line="480" w:lineRule="auto" w:after="0" w:before="0"/>
        <w:jc w:val="center"/>
      </w:pPr>
      <w:r>
        <w:rPr>
          <w:rFonts w:ascii="Times New Roman" w:hAnsi="Times New Roman"/>
          <w:b w:val="0"/>
          <w:i w:val="0"/>
          <w:sz w:val="24"/>
        </w:rPr>
        <w:t>Richmond Agyarkoh</w:t>
      </w:r>
    </w:p>
    <w:p>
      <w:pPr>
        <w:spacing w:line="480" w:lineRule="auto" w:after="0" w:before="0"/>
        <w:jc w:val="center"/>
      </w:pPr>
      <w:r>
        <w:rPr>
          <w:rFonts w:ascii="Times New Roman" w:hAnsi="Times New Roman"/>
          <w:b w:val="0"/>
          <w:i w:val="0"/>
          <w:sz w:val="24"/>
        </w:rPr>
        <w:t>September 9, 2026</w:t>
      </w:r>
    </w:p>
    <w:p>
      <w:r>
        <w:br w:type="page"/>
      </w:r>
    </w:p>
    <w:p>
      <w:pPr>
        <w:spacing w:line="480" w:lineRule="auto" w:after="0" w:before="0"/>
        <w:jc w:val="center"/>
      </w:pPr>
      <w:r>
        <w:rPr>
          <w:rFonts w:ascii="Times New Roman" w:hAnsi="Times New Roman"/>
          <w:b/>
          <w:i w:val="0"/>
          <w:sz w:val="24"/>
        </w:rPr>
        <w:t>Financial Statements and Stakeholder Decision-Making: Analyzing Urban Path Co.'s Transactions</w:t>
      </w:r>
    </w:p>
    <w:p>
      <w:pPr>
        <w:spacing w:line="480" w:lineRule="auto" w:after="0" w:before="0"/>
        <w:jc w:val="left"/>
      </w:pPr>
      <w:r>
        <w:rPr>
          <w:rFonts w:ascii="Times New Roman" w:hAnsi="Times New Roman"/>
          <w:b w:val="0"/>
          <w:i w:val="0"/>
          <w:sz w:val="24"/>
        </w:rPr>
        <w:t>The table below categorizes each of Urban Path Co.'s September transactions into the accounting elements it affects and records the related debit and credit entries.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tcPr>
          <w:p>
            <w:pPr>
              <w:spacing w:line="240" w:lineRule="auto"/>
            </w:pPr>
            <w:r/>
            <w:r>
              <w:rPr>
                <w:rFonts w:ascii="Times New Roman" w:hAnsi="Times New Roman"/>
                <w:b/>
                <w:sz w:val="22"/>
              </w:rPr>
              <w:t>Date</w:t>
            </w:r>
          </w:p>
        </w:tc>
        <w:tc>
          <w:tcPr>
            <w:tcW w:type="dxa" w:w="3744"/>
          </w:tcPr>
          <w:p>
            <w:pPr>
              <w:spacing w:line="240" w:lineRule="auto"/>
            </w:pPr>
            <w:r/>
            <w:r>
              <w:rPr>
                <w:rFonts w:ascii="Times New Roman" w:hAnsi="Times New Roman"/>
                <w:b/>
                <w:sz w:val="22"/>
              </w:rPr>
              <w:t>Transaction Description</w:t>
            </w:r>
          </w:p>
        </w:tc>
        <w:tc>
          <w:tcPr>
            <w:tcW w:type="dxa" w:w="1728"/>
          </w:tcPr>
          <w:p>
            <w:pPr>
              <w:spacing w:line="240" w:lineRule="auto"/>
            </w:pPr>
            <w:r/>
            <w:r>
              <w:rPr>
                <w:rFonts w:ascii="Times New Roman" w:hAnsi="Times New Roman"/>
                <w:b/>
                <w:sz w:val="22"/>
              </w:rPr>
              <w:t>Category</w:t>
            </w:r>
          </w:p>
        </w:tc>
        <w:tc>
          <w:tcPr>
            <w:tcW w:type="dxa" w:w="2160"/>
          </w:tcPr>
          <w:p>
            <w:pPr>
              <w:spacing w:line="240" w:lineRule="auto"/>
            </w:pPr>
            <w:r/>
            <w:r>
              <w:rPr>
                <w:rFonts w:ascii="Times New Roman" w:hAnsi="Times New Roman"/>
                <w:b/>
                <w:sz w:val="22"/>
              </w:rPr>
              <w:t>Debit</w:t>
            </w:r>
          </w:p>
        </w:tc>
        <w:tc>
          <w:tcPr>
            <w:tcW w:type="dxa" w:w="2160"/>
          </w:tcPr>
          <w:p>
            <w:pPr>
              <w:spacing w:line="240" w:lineRule="auto"/>
            </w:pPr>
            <w:r/>
            <w:r>
              <w:rPr>
                <w:rFonts w:ascii="Times New Roman" w:hAnsi="Times New Roman"/>
                <w:b/>
                <w:sz w:val="22"/>
              </w:rPr>
              <w:t>Credit</w:t>
            </w:r>
          </w:p>
        </w:tc>
      </w:tr>
      <w:tr>
        <w:tc>
          <w:tcPr>
            <w:tcW w:type="dxa" w:w="1008"/>
          </w:tcPr>
          <w:p>
            <w:pPr>
              <w:spacing w:line="240" w:lineRule="auto"/>
            </w:pPr>
            <w:r/>
            <w:r>
              <w:rPr>
                <w:rFonts w:ascii="Times New Roman" w:hAnsi="Times New Roman"/>
                <w:sz w:val="22"/>
              </w:rPr>
              <w:t>Sep-01</w:t>
            </w:r>
          </w:p>
        </w:tc>
        <w:tc>
          <w:tcPr>
            <w:tcW w:type="dxa" w:w="3744"/>
          </w:tcPr>
          <w:p>
            <w:pPr>
              <w:spacing w:line="240" w:lineRule="auto"/>
            </w:pPr>
            <w:r/>
            <w:r>
              <w:rPr>
                <w:rFonts w:ascii="Times New Roman" w:hAnsi="Times New Roman"/>
                <w:sz w:val="22"/>
              </w:rPr>
              <w:t>Issued 10,000 shares at $10 each to owners for cash $100,000</w:t>
            </w:r>
          </w:p>
        </w:tc>
        <w:tc>
          <w:tcPr>
            <w:tcW w:type="dxa" w:w="1728"/>
          </w:tcPr>
          <w:p>
            <w:pPr>
              <w:spacing w:line="240" w:lineRule="auto"/>
            </w:pPr>
            <w:r/>
            <w:r>
              <w:rPr>
                <w:rFonts w:ascii="Times New Roman" w:hAnsi="Times New Roman"/>
                <w:sz w:val="22"/>
              </w:rPr>
              <w:t>Assets, Equity</w:t>
            </w:r>
          </w:p>
        </w:tc>
        <w:tc>
          <w:tcPr>
            <w:tcW w:type="dxa" w:w="2160"/>
          </w:tcPr>
          <w:p>
            <w:pPr>
              <w:spacing w:line="240" w:lineRule="auto"/>
            </w:pPr>
            <w:r/>
            <w:r>
              <w:rPr>
                <w:rFonts w:ascii="Times New Roman" w:hAnsi="Times New Roman"/>
                <w:sz w:val="22"/>
              </w:rPr>
              <w:t>Cash $100,000</w:t>
            </w:r>
          </w:p>
        </w:tc>
        <w:tc>
          <w:tcPr>
            <w:tcW w:type="dxa" w:w="2160"/>
          </w:tcPr>
          <w:p>
            <w:pPr>
              <w:spacing w:line="240" w:lineRule="auto"/>
            </w:pPr>
            <w:r/>
            <w:r>
              <w:rPr>
                <w:rFonts w:ascii="Times New Roman" w:hAnsi="Times New Roman"/>
                <w:sz w:val="22"/>
              </w:rPr>
              <w:t>Common Stock $100,000</w:t>
            </w:r>
          </w:p>
        </w:tc>
      </w:tr>
      <w:tr>
        <w:tc>
          <w:tcPr>
            <w:tcW w:type="dxa" w:w="1008"/>
          </w:tcPr>
          <w:p>
            <w:pPr>
              <w:spacing w:line="240" w:lineRule="auto"/>
            </w:pPr>
            <w:r/>
            <w:r>
              <w:rPr>
                <w:rFonts w:ascii="Times New Roman" w:hAnsi="Times New Roman"/>
                <w:sz w:val="22"/>
              </w:rPr>
              <w:t>Sep-03</w:t>
            </w:r>
          </w:p>
        </w:tc>
        <w:tc>
          <w:tcPr>
            <w:tcW w:type="dxa" w:w="3744"/>
          </w:tcPr>
          <w:p>
            <w:pPr>
              <w:spacing w:line="240" w:lineRule="auto"/>
            </w:pPr>
            <w:r/>
            <w:r>
              <w:rPr>
                <w:rFonts w:ascii="Times New Roman" w:hAnsi="Times New Roman"/>
                <w:sz w:val="22"/>
              </w:rPr>
              <w:t>Purchased office furniture on account from Office Depot $5,000</w:t>
            </w:r>
          </w:p>
        </w:tc>
        <w:tc>
          <w:tcPr>
            <w:tcW w:type="dxa" w:w="1728"/>
          </w:tcPr>
          <w:p>
            <w:pPr>
              <w:spacing w:line="240" w:lineRule="auto"/>
            </w:pPr>
            <w:r/>
            <w:r>
              <w:rPr>
                <w:rFonts w:ascii="Times New Roman" w:hAnsi="Times New Roman"/>
                <w:sz w:val="22"/>
              </w:rPr>
              <w:t>Assets, Liabilities</w:t>
            </w:r>
          </w:p>
        </w:tc>
        <w:tc>
          <w:tcPr>
            <w:tcW w:type="dxa" w:w="2160"/>
          </w:tcPr>
          <w:p>
            <w:pPr>
              <w:spacing w:line="240" w:lineRule="auto"/>
            </w:pPr>
            <w:r/>
            <w:r>
              <w:rPr>
                <w:rFonts w:ascii="Times New Roman" w:hAnsi="Times New Roman"/>
                <w:sz w:val="22"/>
              </w:rPr>
              <w:t>Office Furniture $5,000</w:t>
            </w:r>
          </w:p>
        </w:tc>
        <w:tc>
          <w:tcPr>
            <w:tcW w:type="dxa" w:w="2160"/>
          </w:tcPr>
          <w:p>
            <w:pPr>
              <w:spacing w:line="240" w:lineRule="auto"/>
            </w:pPr>
            <w:r/>
            <w:r>
              <w:rPr>
                <w:rFonts w:ascii="Times New Roman" w:hAnsi="Times New Roman"/>
                <w:sz w:val="22"/>
              </w:rPr>
              <w:t>Accounts Payable $5,000</w:t>
            </w:r>
          </w:p>
        </w:tc>
      </w:tr>
      <w:tr>
        <w:tc>
          <w:tcPr>
            <w:tcW w:type="dxa" w:w="1008"/>
          </w:tcPr>
          <w:p>
            <w:pPr>
              <w:spacing w:line="240" w:lineRule="auto"/>
            </w:pPr>
            <w:r/>
            <w:r>
              <w:rPr>
                <w:rFonts w:ascii="Times New Roman" w:hAnsi="Times New Roman"/>
                <w:sz w:val="22"/>
              </w:rPr>
              <w:t>Sep-05</w:t>
            </w:r>
          </w:p>
        </w:tc>
        <w:tc>
          <w:tcPr>
            <w:tcW w:type="dxa" w:w="3744"/>
          </w:tcPr>
          <w:p>
            <w:pPr>
              <w:spacing w:line="240" w:lineRule="auto"/>
            </w:pPr>
            <w:r/>
            <w:r>
              <w:rPr>
                <w:rFonts w:ascii="Times New Roman" w:hAnsi="Times New Roman"/>
                <w:sz w:val="22"/>
              </w:rPr>
              <w:t>Paid cash for advertising expenses $2,000</w:t>
            </w:r>
          </w:p>
        </w:tc>
        <w:tc>
          <w:tcPr>
            <w:tcW w:type="dxa" w:w="1728"/>
          </w:tcPr>
          <w:p>
            <w:pPr>
              <w:spacing w:line="240" w:lineRule="auto"/>
            </w:pPr>
            <w:r/>
            <w:r>
              <w:rPr>
                <w:rFonts w:ascii="Times New Roman" w:hAnsi="Times New Roman"/>
                <w:sz w:val="22"/>
              </w:rPr>
              <w:t>Expenses, Assets</w:t>
            </w:r>
          </w:p>
        </w:tc>
        <w:tc>
          <w:tcPr>
            <w:tcW w:type="dxa" w:w="2160"/>
          </w:tcPr>
          <w:p>
            <w:pPr>
              <w:spacing w:line="240" w:lineRule="auto"/>
            </w:pPr>
            <w:r/>
            <w:r>
              <w:rPr>
                <w:rFonts w:ascii="Times New Roman" w:hAnsi="Times New Roman"/>
                <w:sz w:val="22"/>
              </w:rPr>
              <w:t>Advertising Expense $2,000</w:t>
            </w:r>
          </w:p>
        </w:tc>
        <w:tc>
          <w:tcPr>
            <w:tcW w:type="dxa" w:w="2160"/>
          </w:tcPr>
          <w:p>
            <w:pPr>
              <w:spacing w:line="240" w:lineRule="auto"/>
            </w:pPr>
            <w:r/>
            <w:r>
              <w:rPr>
                <w:rFonts w:ascii="Times New Roman" w:hAnsi="Times New Roman"/>
                <w:sz w:val="22"/>
              </w:rPr>
              <w:t>Cash $2,000</w:t>
            </w:r>
          </w:p>
        </w:tc>
      </w:tr>
      <w:tr>
        <w:tc>
          <w:tcPr>
            <w:tcW w:type="dxa" w:w="1008"/>
          </w:tcPr>
          <w:p>
            <w:pPr>
              <w:spacing w:line="240" w:lineRule="auto"/>
            </w:pPr>
            <w:r/>
            <w:r>
              <w:rPr>
                <w:rFonts w:ascii="Times New Roman" w:hAnsi="Times New Roman"/>
                <w:sz w:val="22"/>
              </w:rPr>
              <w:t>Sep-07</w:t>
            </w:r>
          </w:p>
        </w:tc>
        <w:tc>
          <w:tcPr>
            <w:tcW w:type="dxa" w:w="3744"/>
          </w:tcPr>
          <w:p>
            <w:pPr>
              <w:spacing w:line="240" w:lineRule="auto"/>
            </w:pPr>
            <w:r/>
            <w:r>
              <w:rPr>
                <w:rFonts w:ascii="Times New Roman" w:hAnsi="Times New Roman"/>
                <w:sz w:val="22"/>
              </w:rPr>
              <w:t>Received cash from customers for services performed $3,500</w:t>
            </w:r>
          </w:p>
        </w:tc>
        <w:tc>
          <w:tcPr>
            <w:tcW w:type="dxa" w:w="1728"/>
          </w:tcPr>
          <w:p>
            <w:pPr>
              <w:spacing w:line="240" w:lineRule="auto"/>
            </w:pPr>
            <w:r/>
            <w:r>
              <w:rPr>
                <w:rFonts w:ascii="Times New Roman" w:hAnsi="Times New Roman"/>
                <w:sz w:val="22"/>
              </w:rPr>
              <w:t>Assets, Income</w:t>
            </w:r>
          </w:p>
        </w:tc>
        <w:tc>
          <w:tcPr>
            <w:tcW w:type="dxa" w:w="2160"/>
          </w:tcPr>
          <w:p>
            <w:pPr>
              <w:spacing w:line="240" w:lineRule="auto"/>
            </w:pPr>
            <w:r/>
            <w:r>
              <w:rPr>
                <w:rFonts w:ascii="Times New Roman" w:hAnsi="Times New Roman"/>
                <w:sz w:val="22"/>
              </w:rPr>
              <w:t>Cash $3,500</w:t>
            </w:r>
          </w:p>
        </w:tc>
        <w:tc>
          <w:tcPr>
            <w:tcW w:type="dxa" w:w="2160"/>
          </w:tcPr>
          <w:p>
            <w:pPr>
              <w:spacing w:line="240" w:lineRule="auto"/>
            </w:pPr>
            <w:r/>
            <w:r>
              <w:rPr>
                <w:rFonts w:ascii="Times New Roman" w:hAnsi="Times New Roman"/>
                <w:sz w:val="22"/>
              </w:rPr>
              <w:t>Service Revenue $3,500</w:t>
            </w:r>
          </w:p>
        </w:tc>
      </w:tr>
      <w:tr>
        <w:tc>
          <w:tcPr>
            <w:tcW w:type="dxa" w:w="1008"/>
          </w:tcPr>
          <w:p>
            <w:pPr>
              <w:spacing w:line="240" w:lineRule="auto"/>
            </w:pPr>
            <w:r/>
            <w:r>
              <w:rPr>
                <w:rFonts w:ascii="Times New Roman" w:hAnsi="Times New Roman"/>
                <w:sz w:val="22"/>
              </w:rPr>
              <w:t>Sep-09</w:t>
            </w:r>
          </w:p>
        </w:tc>
        <w:tc>
          <w:tcPr>
            <w:tcW w:type="dxa" w:w="3744"/>
          </w:tcPr>
          <w:p>
            <w:pPr>
              <w:spacing w:line="240" w:lineRule="auto"/>
            </w:pPr>
            <w:r/>
            <w:r>
              <w:rPr>
                <w:rFonts w:ascii="Times New Roman" w:hAnsi="Times New Roman"/>
                <w:sz w:val="22"/>
              </w:rPr>
              <w:t>Paid cash for utility bills $1,500</w:t>
            </w:r>
          </w:p>
        </w:tc>
        <w:tc>
          <w:tcPr>
            <w:tcW w:type="dxa" w:w="1728"/>
          </w:tcPr>
          <w:p>
            <w:pPr>
              <w:spacing w:line="240" w:lineRule="auto"/>
            </w:pPr>
            <w:r/>
            <w:r>
              <w:rPr>
                <w:rFonts w:ascii="Times New Roman" w:hAnsi="Times New Roman"/>
                <w:sz w:val="22"/>
              </w:rPr>
              <w:t>Expenses, Assets</w:t>
            </w:r>
          </w:p>
        </w:tc>
        <w:tc>
          <w:tcPr>
            <w:tcW w:type="dxa" w:w="2160"/>
          </w:tcPr>
          <w:p>
            <w:pPr>
              <w:spacing w:line="240" w:lineRule="auto"/>
            </w:pPr>
            <w:r/>
            <w:r>
              <w:rPr>
                <w:rFonts w:ascii="Times New Roman" w:hAnsi="Times New Roman"/>
                <w:sz w:val="22"/>
              </w:rPr>
              <w:t>Utilities Expense $1,500</w:t>
            </w:r>
          </w:p>
        </w:tc>
        <w:tc>
          <w:tcPr>
            <w:tcW w:type="dxa" w:w="2160"/>
          </w:tcPr>
          <w:p>
            <w:pPr>
              <w:spacing w:line="240" w:lineRule="auto"/>
            </w:pPr>
            <w:r/>
            <w:r>
              <w:rPr>
                <w:rFonts w:ascii="Times New Roman" w:hAnsi="Times New Roman"/>
                <w:sz w:val="22"/>
              </w:rPr>
              <w:t>Cash $1,500</w:t>
            </w:r>
          </w:p>
        </w:tc>
      </w:tr>
      <w:tr>
        <w:tc>
          <w:tcPr>
            <w:tcW w:type="dxa" w:w="1008"/>
          </w:tcPr>
          <w:p>
            <w:pPr>
              <w:spacing w:line="240" w:lineRule="auto"/>
            </w:pPr>
            <w:r/>
            <w:r>
              <w:rPr>
                <w:rFonts w:ascii="Times New Roman" w:hAnsi="Times New Roman"/>
                <w:sz w:val="22"/>
              </w:rPr>
              <w:t>Sep-12</w:t>
            </w:r>
          </w:p>
        </w:tc>
        <w:tc>
          <w:tcPr>
            <w:tcW w:type="dxa" w:w="3744"/>
          </w:tcPr>
          <w:p>
            <w:pPr>
              <w:spacing w:line="240" w:lineRule="auto"/>
            </w:pPr>
            <w:r/>
            <w:r>
              <w:rPr>
                <w:rFonts w:ascii="Times New Roman" w:hAnsi="Times New Roman"/>
                <w:sz w:val="22"/>
              </w:rPr>
              <w:t>Paid rent in advance for the next three months $6,000</w:t>
            </w:r>
          </w:p>
        </w:tc>
        <w:tc>
          <w:tcPr>
            <w:tcW w:type="dxa" w:w="1728"/>
          </w:tcPr>
          <w:p>
            <w:pPr>
              <w:spacing w:line="240" w:lineRule="auto"/>
            </w:pPr>
            <w:r/>
            <w:r>
              <w:rPr>
                <w:rFonts w:ascii="Times New Roman" w:hAnsi="Times New Roman"/>
                <w:sz w:val="22"/>
              </w:rPr>
              <w:t>Assets</w:t>
            </w:r>
          </w:p>
        </w:tc>
        <w:tc>
          <w:tcPr>
            <w:tcW w:type="dxa" w:w="2160"/>
          </w:tcPr>
          <w:p>
            <w:pPr>
              <w:spacing w:line="240" w:lineRule="auto"/>
            </w:pPr>
            <w:r/>
            <w:r>
              <w:rPr>
                <w:rFonts w:ascii="Times New Roman" w:hAnsi="Times New Roman"/>
                <w:sz w:val="22"/>
              </w:rPr>
              <w:t>Prepaid Rent $6,000</w:t>
            </w:r>
          </w:p>
        </w:tc>
        <w:tc>
          <w:tcPr>
            <w:tcW w:type="dxa" w:w="2160"/>
          </w:tcPr>
          <w:p>
            <w:pPr>
              <w:spacing w:line="240" w:lineRule="auto"/>
            </w:pPr>
            <w:r/>
            <w:r>
              <w:rPr>
                <w:rFonts w:ascii="Times New Roman" w:hAnsi="Times New Roman"/>
                <w:sz w:val="22"/>
              </w:rPr>
              <w:t>Cash $6,000</w:t>
            </w:r>
          </w:p>
        </w:tc>
      </w:tr>
      <w:tr>
        <w:tc>
          <w:tcPr>
            <w:tcW w:type="dxa" w:w="1008"/>
          </w:tcPr>
          <w:p>
            <w:pPr>
              <w:spacing w:line="240" w:lineRule="auto"/>
            </w:pPr>
            <w:r/>
            <w:r>
              <w:rPr>
                <w:rFonts w:ascii="Times New Roman" w:hAnsi="Times New Roman"/>
                <w:sz w:val="22"/>
              </w:rPr>
              <w:t>Sep-15</w:t>
            </w:r>
          </w:p>
        </w:tc>
        <w:tc>
          <w:tcPr>
            <w:tcW w:type="dxa" w:w="3744"/>
          </w:tcPr>
          <w:p>
            <w:pPr>
              <w:spacing w:line="240" w:lineRule="auto"/>
            </w:pPr>
            <w:r/>
            <w:r>
              <w:rPr>
                <w:rFonts w:ascii="Times New Roman" w:hAnsi="Times New Roman"/>
                <w:sz w:val="22"/>
              </w:rPr>
              <w:t>Performed services on account $8,000</w:t>
            </w:r>
          </w:p>
        </w:tc>
        <w:tc>
          <w:tcPr>
            <w:tcW w:type="dxa" w:w="1728"/>
          </w:tcPr>
          <w:p>
            <w:pPr>
              <w:spacing w:line="240" w:lineRule="auto"/>
            </w:pPr>
            <w:r/>
            <w:r>
              <w:rPr>
                <w:rFonts w:ascii="Times New Roman" w:hAnsi="Times New Roman"/>
                <w:sz w:val="22"/>
              </w:rPr>
              <w:t>Assets, Income</w:t>
            </w:r>
          </w:p>
        </w:tc>
        <w:tc>
          <w:tcPr>
            <w:tcW w:type="dxa" w:w="2160"/>
          </w:tcPr>
          <w:p>
            <w:pPr>
              <w:spacing w:line="240" w:lineRule="auto"/>
            </w:pPr>
            <w:r/>
            <w:r>
              <w:rPr>
                <w:rFonts w:ascii="Times New Roman" w:hAnsi="Times New Roman"/>
                <w:sz w:val="22"/>
              </w:rPr>
              <w:t>Accounts Receivable $8,000</w:t>
            </w:r>
          </w:p>
        </w:tc>
        <w:tc>
          <w:tcPr>
            <w:tcW w:type="dxa" w:w="2160"/>
          </w:tcPr>
          <w:p>
            <w:pPr>
              <w:spacing w:line="240" w:lineRule="auto"/>
            </w:pPr>
            <w:r/>
            <w:r>
              <w:rPr>
                <w:rFonts w:ascii="Times New Roman" w:hAnsi="Times New Roman"/>
                <w:sz w:val="22"/>
              </w:rPr>
              <w:t>Service Revenue $8,000</w:t>
            </w:r>
          </w:p>
        </w:tc>
      </w:tr>
      <w:tr>
        <w:tc>
          <w:tcPr>
            <w:tcW w:type="dxa" w:w="1008"/>
          </w:tcPr>
          <w:p>
            <w:pPr>
              <w:spacing w:line="240" w:lineRule="auto"/>
            </w:pPr>
            <w:r/>
            <w:r>
              <w:rPr>
                <w:rFonts w:ascii="Times New Roman" w:hAnsi="Times New Roman"/>
                <w:sz w:val="22"/>
              </w:rPr>
              <w:t>Sep-20</w:t>
            </w:r>
          </w:p>
        </w:tc>
        <w:tc>
          <w:tcPr>
            <w:tcW w:type="dxa" w:w="3744"/>
          </w:tcPr>
          <w:p>
            <w:pPr>
              <w:spacing w:line="240" w:lineRule="auto"/>
            </w:pPr>
            <w:r/>
            <w:r>
              <w:rPr>
                <w:rFonts w:ascii="Times New Roman" w:hAnsi="Times New Roman"/>
                <w:sz w:val="22"/>
              </w:rPr>
              <w:t>Paid $3,000 towards the outstanding balance from the purchase of office furniture</w:t>
            </w:r>
          </w:p>
        </w:tc>
        <w:tc>
          <w:tcPr>
            <w:tcW w:type="dxa" w:w="1728"/>
          </w:tcPr>
          <w:p>
            <w:pPr>
              <w:spacing w:line="240" w:lineRule="auto"/>
            </w:pPr>
            <w:r/>
            <w:r>
              <w:rPr>
                <w:rFonts w:ascii="Times New Roman" w:hAnsi="Times New Roman"/>
                <w:sz w:val="22"/>
              </w:rPr>
              <w:t>Liabilities, Assets</w:t>
            </w:r>
          </w:p>
        </w:tc>
        <w:tc>
          <w:tcPr>
            <w:tcW w:type="dxa" w:w="2160"/>
          </w:tcPr>
          <w:p>
            <w:pPr>
              <w:spacing w:line="240" w:lineRule="auto"/>
            </w:pPr>
            <w:r/>
            <w:r>
              <w:rPr>
                <w:rFonts w:ascii="Times New Roman" w:hAnsi="Times New Roman"/>
                <w:sz w:val="22"/>
              </w:rPr>
              <w:t>Accounts Payable $3,000</w:t>
            </w:r>
          </w:p>
        </w:tc>
        <w:tc>
          <w:tcPr>
            <w:tcW w:type="dxa" w:w="2160"/>
          </w:tcPr>
          <w:p>
            <w:pPr>
              <w:spacing w:line="240" w:lineRule="auto"/>
            </w:pPr>
            <w:r/>
            <w:r>
              <w:rPr>
                <w:rFonts w:ascii="Times New Roman" w:hAnsi="Times New Roman"/>
                <w:sz w:val="22"/>
              </w:rPr>
              <w:t>Cash $3,000</w:t>
            </w:r>
          </w:p>
        </w:tc>
      </w:tr>
      <w:tr>
        <w:tc>
          <w:tcPr>
            <w:tcW w:type="dxa" w:w="1008"/>
          </w:tcPr>
          <w:p>
            <w:pPr>
              <w:spacing w:line="240" w:lineRule="auto"/>
            </w:pPr>
            <w:r/>
            <w:r>
              <w:rPr>
                <w:rFonts w:ascii="Times New Roman" w:hAnsi="Times New Roman"/>
                <w:sz w:val="22"/>
              </w:rPr>
              <w:t>Sep-25</w:t>
            </w:r>
          </w:p>
        </w:tc>
        <w:tc>
          <w:tcPr>
            <w:tcW w:type="dxa" w:w="3744"/>
          </w:tcPr>
          <w:p>
            <w:pPr>
              <w:spacing w:line="240" w:lineRule="auto"/>
            </w:pPr>
            <w:r/>
            <w:r>
              <w:rPr>
                <w:rFonts w:ascii="Times New Roman" w:hAnsi="Times New Roman"/>
                <w:sz w:val="22"/>
              </w:rPr>
              <w:t>Paid salaries to employees $4,500</w:t>
            </w:r>
          </w:p>
        </w:tc>
        <w:tc>
          <w:tcPr>
            <w:tcW w:type="dxa" w:w="1728"/>
          </w:tcPr>
          <w:p>
            <w:pPr>
              <w:spacing w:line="240" w:lineRule="auto"/>
            </w:pPr>
            <w:r/>
            <w:r>
              <w:rPr>
                <w:rFonts w:ascii="Times New Roman" w:hAnsi="Times New Roman"/>
                <w:sz w:val="22"/>
              </w:rPr>
              <w:t>Expenses, Assets</w:t>
            </w:r>
          </w:p>
        </w:tc>
        <w:tc>
          <w:tcPr>
            <w:tcW w:type="dxa" w:w="2160"/>
          </w:tcPr>
          <w:p>
            <w:pPr>
              <w:spacing w:line="240" w:lineRule="auto"/>
            </w:pPr>
            <w:r/>
            <w:r>
              <w:rPr>
                <w:rFonts w:ascii="Times New Roman" w:hAnsi="Times New Roman"/>
                <w:sz w:val="22"/>
              </w:rPr>
              <w:t>Salaries Expense $4,500</w:t>
            </w:r>
          </w:p>
        </w:tc>
        <w:tc>
          <w:tcPr>
            <w:tcW w:type="dxa" w:w="2160"/>
          </w:tcPr>
          <w:p>
            <w:pPr>
              <w:spacing w:line="240" w:lineRule="auto"/>
            </w:pPr>
            <w:r/>
            <w:r>
              <w:rPr>
                <w:rFonts w:ascii="Times New Roman" w:hAnsi="Times New Roman"/>
                <w:sz w:val="22"/>
              </w:rPr>
              <w:t>Cash $4,500</w:t>
            </w:r>
          </w:p>
        </w:tc>
      </w:tr>
      <w:tr>
        <w:tc>
          <w:tcPr>
            <w:tcW w:type="dxa" w:w="1008"/>
          </w:tcPr>
          <w:p>
            <w:pPr>
              <w:spacing w:line="240" w:lineRule="auto"/>
            </w:pPr>
            <w:r/>
            <w:r>
              <w:rPr>
                <w:rFonts w:ascii="Times New Roman" w:hAnsi="Times New Roman"/>
                <w:sz w:val="22"/>
              </w:rPr>
              <w:t>Sep-30</w:t>
            </w:r>
          </w:p>
        </w:tc>
        <w:tc>
          <w:tcPr>
            <w:tcW w:type="dxa" w:w="3744"/>
          </w:tcPr>
          <w:p>
            <w:pPr>
              <w:spacing w:line="240" w:lineRule="auto"/>
            </w:pPr>
            <w:r/>
            <w:r>
              <w:rPr>
                <w:rFonts w:ascii="Times New Roman" w:hAnsi="Times New Roman"/>
                <w:sz w:val="22"/>
              </w:rPr>
              <w:t>Declared and paid a dividend to shareholders $1,000</w:t>
            </w:r>
          </w:p>
        </w:tc>
        <w:tc>
          <w:tcPr>
            <w:tcW w:type="dxa" w:w="1728"/>
          </w:tcPr>
          <w:p>
            <w:pPr>
              <w:spacing w:line="240" w:lineRule="auto"/>
            </w:pPr>
            <w:r/>
            <w:r>
              <w:rPr>
                <w:rFonts w:ascii="Times New Roman" w:hAnsi="Times New Roman"/>
                <w:sz w:val="22"/>
              </w:rPr>
              <w:t>Equity, Assets</w:t>
            </w:r>
          </w:p>
        </w:tc>
        <w:tc>
          <w:tcPr>
            <w:tcW w:type="dxa" w:w="2160"/>
          </w:tcPr>
          <w:p>
            <w:pPr>
              <w:spacing w:line="240" w:lineRule="auto"/>
            </w:pPr>
            <w:r/>
            <w:r>
              <w:rPr>
                <w:rFonts w:ascii="Times New Roman" w:hAnsi="Times New Roman"/>
                <w:sz w:val="22"/>
              </w:rPr>
              <w:t>Dividends $1,000</w:t>
            </w:r>
          </w:p>
        </w:tc>
        <w:tc>
          <w:tcPr>
            <w:tcW w:type="dxa" w:w="2160"/>
          </w:tcPr>
          <w:p>
            <w:pPr>
              <w:spacing w:line="240" w:lineRule="auto"/>
            </w:pPr>
            <w:r/>
            <w:r>
              <w:rPr>
                <w:rFonts w:ascii="Times New Roman" w:hAnsi="Times New Roman"/>
                <w:sz w:val="22"/>
              </w:rPr>
              <w:t>Cash $1,000</w:t>
            </w:r>
          </w:p>
        </w:tc>
      </w:tr>
    </w:tbl>
    <w:p>
      <w:pPr>
        <w:spacing w:line="480" w:lineRule="auto" w:after="0" w:before="0"/>
        <w:jc w:val="left"/>
      </w:pPr>
    </w:p>
    <w:p>
      <w:pPr>
        <w:spacing w:line="480" w:lineRule="auto" w:after="0" w:before="0"/>
        <w:ind w:firstLine="720"/>
        <w:jc w:val="left"/>
      </w:pPr>
      <w:r>
        <w:rPr>
          <w:rFonts w:ascii="Times New Roman" w:hAnsi="Times New Roman"/>
          <w:b w:val="0"/>
          <w:i w:val="0"/>
          <w:sz w:val="24"/>
        </w:rPr>
        <w:t>After posting Urban Path Co.'s ten transactions, the company's totals show a young, low-debt corporation funded mainly by its investors. Total assets add up to $104,500: $85,500 in cash, $8,000 in accounts receivable still owed from the September 15 job, $6,000 in prepaid rent, and $5,000 in office furniture. Total liabilities are only $2,000, the remaining balance owed to Office Depot after the $3,000 payment on September 20. Total equity comes to $102,500: the $100,000 in common stock issued September 1, plus $2,500 in retained earnings. That figure reflects $11,500 in revenue (the $3,500 cash job and the $8,000 job billed on account) minus $8,000 in expenses (advertising, utilities, and salaries), for $3,500 net income, less the $1,000 dividend paid September 30. These numbers show a company with very little leverage: assets are financed almost entirely by owner investment rather than debt (Franklin et al., 2022), which generally signals lower financial risk, though the company's cash position still depends on collecting that $8,000 receivable.</w:t>
      </w:r>
    </w:p>
    <w:p>
      <w:pPr>
        <w:spacing w:line="480" w:lineRule="auto" w:after="0" w:before="0"/>
        <w:ind w:firstLine="720"/>
        <w:jc w:val="left"/>
      </w:pPr>
      <w:r>
        <w:rPr>
          <w:rFonts w:ascii="Times New Roman" w:hAnsi="Times New Roman"/>
          <w:b w:val="0"/>
          <w:i w:val="0"/>
          <w:sz w:val="24"/>
        </w:rPr>
        <w:t>Of the four statements, I would rely most heavily on the statement of cash flows when deciding whether to invest. Net income is calculated under accrual accounting, which records revenue like Urban Path's $8,000 job as soon as it is billed, before any cash actually changes hands, so a profitable-looking income statement does not guarantee a company can pay its bills (Franklin et al., 2022). I see the same idea in my own budgeting at home: I do our household groceries every ten days rather than whenever I feel like it, because checking exactly how much cash I have for that stretch keeps me from spending past budget. Operating cash flow works on the same logic: it is a bit harder to manipulate than net income, since it is tied to real cash rather than to accounting choices, though it is not completely immune to manipulation either (Rhinehart, 2024). Enron shows why this matters: the company booked profits on deals that had not actually generated cash yet, and by late 2001 it collapsed into what was then the largest bankruptcy in U.S. history (Segal, 2024). For Urban Path, the same idea applies: whether its cash keeps pace with its billed revenue says more about its staying power than net income alone.</w:t>
      </w:r>
    </w:p>
    <w:p>
      <w:pPr>
        <w:spacing w:line="480" w:lineRule="auto" w:after="0" w:before="0"/>
        <w:ind w:firstLine="720"/>
        <w:jc w:val="left"/>
      </w:pPr>
      <w:r>
        <w:rPr>
          <w:rFonts w:ascii="Times New Roman" w:hAnsi="Times New Roman"/>
          <w:b w:val="0"/>
          <w:i w:val="0"/>
          <w:sz w:val="24"/>
        </w:rPr>
        <w:t>Each stakeholder would use these statements differently. Investors, who bought the $100,000 in shares on September 1, would check the balance sheet to see how the company is financed, and the income statement alongside the cash flow statement to judge whether the $3,500 net income is backed by real cash rather than the uncollected receivable (Franklin et al., 2022). Creditors, such as Office Depot after extending $5,000 of credit, care most about the balance sheet and cash position, since their decision comes down to repayment risk: whether Urban Path can cover the remaining $2,000 it owes (Franklin et al., 2022). Management uses all four statements for daily and strategic decisions, such as whether Urban Path can afford to hire staff or pay another dividend without straining its $85,500 cash balance. Because investors, creditors, and management are each answering a different question, no single statement gives any of them the full picture, which is why the four are meant to be read together.</w:t>
      </w:r>
    </w:p>
    <w:p>
      <w:r>
        <w:br w:type="page"/>
      </w:r>
    </w:p>
    <w:p>
      <w:pPr>
        <w:spacing w:line="480" w:lineRule="auto" w:after="0" w:before="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Franklin, M., Graybeal, P., Cooper, D., Bean, L., Burt, I., Carr, S., Collins, D. T., Coram, S., Creech, K., Czyzewski, A., Gauci, M., Greenman, C., Haselkorn, M., Irujo, C., Johnson, C., Khanlarian, C., Lukshaitis, T., Luna, D., Nantz, B., … Woolley, D. (2022). </w:t>
      </w:r>
      <w:r>
        <w:rPr>
          <w:rFonts w:ascii="Times New Roman" w:hAnsi="Times New Roman"/>
          <w:i/>
          <w:sz w:val="24"/>
        </w:rPr>
        <w:t>Principles of accounting, volume 1: Financial accounting</w:t>
      </w:r>
      <w:r>
        <w:rPr>
          <w:rFonts w:ascii="Times New Roman" w:hAnsi="Times New Roman"/>
          <w:i w:val="0"/>
          <w:sz w:val="24"/>
        </w:rPr>
        <w:t xml:space="preserve">. OpenStax. Licensed under CC 4.0. </w:t>
      </w:r>
      <w:hyperlink r:id="rId9">
        <w:r>
          <w:rPr>
            <w:rFonts w:ascii="Times New Roman" w:hAnsi="Times New Roman"/>
            <w:sz w:val="24"/>
            <w:color w:val="0563C1"/>
            <w:u w:val="single"/>
          </w:rPr>
          <w:t>https://openstax.org/details/books/principles-financial-accounting</w:t>
        </w:r>
      </w:hyperlink>
    </w:p>
    <w:p>
      <w:pPr>
        <w:spacing w:line="480" w:lineRule="auto" w:after="0"/>
        <w:ind w:left="720" w:hanging="720"/>
      </w:pPr>
      <w:r>
        <w:rPr>
          <w:rFonts w:ascii="Times New Roman" w:hAnsi="Times New Roman"/>
          <w:i w:val="0"/>
          <w:sz w:val="24"/>
        </w:rPr>
        <w:t xml:space="preserve">Rhinehart, C. (2024, November 7). </w:t>
      </w:r>
      <w:r>
        <w:rPr>
          <w:rFonts w:ascii="Times New Roman" w:hAnsi="Times New Roman"/>
          <w:i/>
          <w:sz w:val="24"/>
        </w:rPr>
        <w:t>Operating cash flow: Better than net income?</w:t>
      </w:r>
      <w:r>
        <w:rPr>
          <w:rFonts w:ascii="Times New Roman" w:hAnsi="Times New Roman"/>
          <w:i w:val="0"/>
          <w:sz w:val="24"/>
        </w:rPr>
        <w:t xml:space="preserve"> Investopedia. </w:t>
      </w:r>
      <w:hyperlink r:id="rId10">
        <w:r>
          <w:rPr>
            <w:rFonts w:ascii="Times New Roman" w:hAnsi="Times New Roman"/>
            <w:sz w:val="24"/>
            <w:color w:val="0563C1"/>
            <w:u w:val="single"/>
          </w:rPr>
          <w:t>https://www.investopedia.com/articles/analyst/03/122203.asp</w:t>
        </w:r>
      </w:hyperlink>
    </w:p>
    <w:p>
      <w:pPr>
        <w:spacing w:line="480" w:lineRule="auto" w:after="0"/>
        <w:ind w:left="720" w:hanging="720"/>
      </w:pPr>
      <w:r>
        <w:rPr>
          <w:rFonts w:ascii="Times New Roman" w:hAnsi="Times New Roman"/>
          <w:i w:val="0"/>
          <w:sz w:val="24"/>
        </w:rPr>
        <w:t xml:space="preserve">Segal, T. (2024, December 3). </w:t>
      </w:r>
      <w:r>
        <w:rPr>
          <w:rFonts w:ascii="Times New Roman" w:hAnsi="Times New Roman"/>
          <w:i/>
          <w:sz w:val="24"/>
        </w:rPr>
        <w:t>Enron scandal and accounting fraud: What happened?</w:t>
      </w:r>
      <w:r>
        <w:rPr>
          <w:rFonts w:ascii="Times New Roman" w:hAnsi="Times New Roman"/>
          <w:i w:val="0"/>
          <w:sz w:val="24"/>
        </w:rPr>
        <w:t xml:space="preserve"> Investopedia. </w:t>
      </w:r>
      <w:hyperlink r:id="rId11">
        <w:r>
          <w:rPr>
            <w:rFonts w:ascii="Times New Roman" w:hAnsi="Times New Roman"/>
            <w:sz w:val="24"/>
            <w:color w:val="0563C1"/>
            <w:u w:val="single"/>
          </w:rPr>
          <w:t>https://www.investopedia.com/updates/enron-scandal-summary/</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stax.org/details/books/principles-financial-accounting" TargetMode="External"/><Relationship Id="rId10" Type="http://schemas.openxmlformats.org/officeDocument/2006/relationships/hyperlink" Target="https://www.investopedia.com/articles/analyst/03/122203.asp" TargetMode="External"/><Relationship Id="rId11" Type="http://schemas.openxmlformats.org/officeDocument/2006/relationships/hyperlink" Target="https://www.investopedia.com/updates/enron-scandal-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850</Words>
  <Characters>4834</Characters>
  <Application>Microsoft Macintosh Word</Application>
  <DocSecurity>0</DocSecurity>
  <Lines>91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true</LinksUpToDate>
  <CharactersWithSpaces>5614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1</cp:revision>
  <dcterms:created xsi:type="dcterms:W3CDTF">2026-09-08T14:05:00Z</dcterms:created>
  <dcterms:modified xsi:type="dcterms:W3CDTF">2026-09-09T21:10:00Z</dcterms:modified>
  <cp:category/>
</cp:coreProperties>
</file>