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MTR Co. Financial Statements: Accounts, Profitability, and Inventory Systems</w:t>
      </w:r>
    </w:p>
    <w:p>
      <w:pPr>
        <w:jc w:val="center"/>
      </w:pPr>
      <w:r>
        <w:t>Saira Binte Shahriar</w:t>
      </w:r>
    </w:p>
    <w:p>
      <w:pPr>
        <w:jc w:val="center"/>
      </w:pPr>
      <w:r>
        <w:t>University of the People</w:t>
      </w:r>
    </w:p>
    <w:p>
      <w:pPr>
        <w:jc w:val="center"/>
      </w:pPr>
      <w:r>
        <w:t>BUS 1102-01: Basic Accounting, AY2027-T1</w:t>
      </w:r>
    </w:p>
    <w:p>
      <w:pPr>
        <w:jc w:val="center"/>
      </w:pPr>
      <w:r>
        <w:t>Richmond Agyarkoh</w:t>
      </w:r>
    </w:p>
    <w:p>
      <w:pPr>
        <w:jc w:val="center"/>
      </w:pPr>
      <w:r>
        <w:t>September 23, 2026</w:t>
      </w:r>
    </w:p>
    <w:p>
      <w:r>
        <w:br w:type="page"/>
      </w:r>
    </w:p>
    <w:p>
      <w:pPr>
        <w:jc w:val="center"/>
      </w:pPr>
      <w:r>
        <w:rPr>
          <w:b/>
        </w:rPr>
        <w:t>MTR Co. Financial Statements: Accounts, Profitability, and Inventory Systems</w:t>
      </w:r>
    </w:p>
    <w:p>
      <w:pPr>
        <w:ind w:firstLine="720"/>
      </w:pPr>
      <w:r>
        <w:t>Looking at MTR Co.'s trial balance, the real and nominal accounts split out pretty cleanly once you sort them by whether they carry a balance forward or reset to zero. Real, or permanent, accounts stay on the books indefinitely and show up on the balance sheet: Cash, Accounts Receivable, Office Supplies, Furniture, Accounts Payable, Common Stock, and the Retained Earnings balance created once the temporary accounts are closed out. Nominal, or temporary, accounts only track activity for one period and get closed to zero at period end: Service Fees Earned, Rent Expense, Wages Expense, Utilities Expense, and Dividends. That closing step matters more than it sounds like on paper, since it is what keeps this period's rent or dividend numbers from carrying over into next period's totals (Franklin et al., 2022).</w:t>
      </w:r>
    </w:p>
    <w:p>
      <w:pPr>
        <w:ind w:firstLine="720"/>
      </w:pPr>
      <w:r>
        <w:t>Pulling those temporary accounts into the income statement, MTR Co. earned $9,300 in service fees against $7,900 in expenses for rent, wages, and utilities, for net income of $1,400. That represents a 15% profit margin for the period. The retained earnings statement tells a different story. With no beginning retained earnings and a $2,200 dividend paid out, ending retained earnings comes out to an $800 deficit. MTR Co. distributed more to shareholders than it actually earned this period. A deficit like this does not necessarily mean the company is in immediate trouble, but it does shrink the equity cushion on the balance sheet, since a deficit balance simply means dividends and losses have outpaced accumulated profit (Investopedia, 2019).</w:t>
      </w:r>
    </w:p>
    <w:p>
      <w:pPr>
        <w:ind w:firstLine="720"/>
      </w:pPr>
      <w:r>
        <w:t>Stability and liquidity are worth looking at separately. Total liabilities are only $5,300 against $47,200 in equity. This shows that MTR Co. relies much more heavily on equity than liabilities to finance its assets. Liquidity is even more striking. Current assets, meaning Cash, Accounts Receivable, and Office Supplies, add up to $43,000 against $5,300 in current liabilities, a current ratio of about 8.1. A ratio above roughly 1.5 is generally read as ample liquidity (Investopedia, 2025), so MTR Co. can cover its current liabilities several times over with what it currently holds. That is reassuring for creditors, though a ratio this high is also worth a second look, since office supplies are counted as a current asset but are not as easy to convert to cash as cash itself, and idle cash sitting unused is not necessarily a sign of efficient management either.</w:t>
      </w:r>
    </w:p>
    <w:p>
      <w:pPr>
        <w:ind w:firstLine="720"/>
      </w:pPr>
      <w:r>
        <w:t>The last piece, inventory systems, does not directly touch MTR Co.'s numbers since its trial balance has no merchandise inventory, but it is central to how a retailer would report differently. A perpetual system updates the Merchandise Inventory account with every purchase and every sale, so cost of goods sold is recognized in real time and the balance sheet always reflects an up-to-date inventory figure (Franklin et al., 2022). A periodic system instead just tracks purchases during the period and only calculates inventory and cost of goods sold at the end, using a physical count. That means a periodic system's financial statements are only as current as the last count, and any shrinkage or theft gets buried inside cost of goods sold instead of showing up separately, while a perpetual system makes that kind of discrepancy easier to identify by comparing the recorded inventory against a physical count (Franklin et al., 2022). For a retailer with high sales volume, that real-time visibility is a meaningful advantage over waiting until period end to find out what actually happened to inventory.</w:t>
      </w:r>
    </w:p>
    <w:p>
      <w:r>
        <w:br w:type="page"/>
      </w:r>
    </w:p>
    <w:p>
      <w:pPr>
        <w:jc w:val="center"/>
      </w:pPr>
      <w:r>
        <w:rPr>
          <w:b/>
        </w:rPr>
        <w:t>References</w:t>
      </w:r>
    </w:p>
    <w:p>
      <w:pPr>
        <w:spacing w:line="480" w:lineRule="auto" w:after="0"/>
        <w:ind w:left="720" w:hanging="720"/>
      </w:pPr>
      <w: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t xml:space="preserve">. OpenStax. Licensed under CC 4.0. </w:t>
      </w:r>
      <w:hyperlink r:id="rId9">
        <w:r>
          <w:rPr>
            <w:color w:val="0563C1"/>
            <w:u w:val="single"/>
          </w:rPr>
          <w:t>https://openstax.org/details/books/principles-financial-accounting</w:t>
        </w:r>
      </w:hyperlink>
    </w:p>
    <w:p>
      <w:pPr>
        <w:spacing w:line="480" w:lineRule="auto" w:after="0"/>
        <w:ind w:left="720" w:hanging="720"/>
      </w:pPr>
      <w:r>
        <w:t xml:space="preserve">Investopedia. (2019, May 14). </w:t>
      </w:r>
      <w:r>
        <w:rPr>
          <w:i/>
        </w:rPr>
        <w:t>What financial statement lists retained earnings?</w:t>
      </w:r>
      <w:r>
        <w:t xml:space="preserve"> </w:t>
      </w:r>
      <w:hyperlink r:id="rId10">
        <w:r>
          <w:rPr>
            <w:color w:val="0563C1"/>
            <w:u w:val="single"/>
          </w:rPr>
          <w:t>https://www.investopedia.com/ask/answers/030215/how-are-retained-earnings-related-companys-income-statement.asp</w:t>
        </w:r>
      </w:hyperlink>
    </w:p>
    <w:p>
      <w:pPr>
        <w:spacing w:line="480" w:lineRule="auto" w:after="0"/>
        <w:ind w:left="720" w:hanging="720"/>
      </w:pPr>
      <w:r>
        <w:t xml:space="preserve">Investopedia. (2025, May 17). </w:t>
      </w:r>
      <w:r>
        <w:rPr>
          <w:i/>
        </w:rPr>
        <w:t>Current ratio explained with formula and examples</w:t>
      </w:r>
      <w:r>
        <w:t xml:space="preserve">. </w:t>
      </w:r>
      <w:hyperlink r:id="rId11">
        <w:r>
          <w:rPr>
            <w:color w:val="0563C1"/>
            <w:u w:val="single"/>
          </w:rPr>
          <w:t>https://www.investopedia.com/terms/c/currentratio.asp</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stax.org/details/books/principles-financial-accounting" TargetMode="External"/><Relationship Id="rId10" Type="http://schemas.openxmlformats.org/officeDocument/2006/relationships/hyperlink" Target="https://www.investopedia.com/ask/answers/030215/how-are-retained-earnings-related-companys-income-statement.asp" TargetMode="External"/><Relationship Id="rId11" Type="http://schemas.openxmlformats.org/officeDocument/2006/relationships/hyperlink" Target="https://www.investopedia.com/terms/c/currentrati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