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jc w:val="center"/>
      </w:pPr>
    </w:p>
    <w:p>
      <w:pPr>
        <w:spacing w:line="480" w:lineRule="auto" w:before="0" w:after="0"/>
        <w:jc w:val="center"/>
      </w:pPr>
    </w:p>
    <w:p>
      <w:pPr>
        <w:spacing w:line="480" w:lineRule="auto" w:before="0" w:after="0"/>
        <w:jc w:val="center"/>
      </w:pPr>
    </w:p>
    <w:p>
      <w:pPr>
        <w:spacing w:line="480" w:lineRule="auto" w:before="0" w:after="0"/>
        <w:jc w:val="center"/>
      </w:pPr>
      <w:r>
        <w:rPr>
          <w:rFonts w:ascii="Times New Roman" w:hAnsi="Times New Roman"/>
          <w:b/>
          <w:i w:val="0"/>
          <w:sz w:val="24"/>
        </w:rPr>
        <w:t>Culinary School Versus On-the-Job Training: Summarizing and Synthesizing the Evidence</w:t>
      </w:r>
    </w:p>
    <w:p>
      <w:pPr>
        <w:spacing w:line="480" w:lineRule="auto" w:before="0" w:after="0"/>
        <w:jc w:val="center"/>
      </w:pPr>
      <w:r>
        <w:rPr>
          <w:rFonts w:ascii="Times New Roman" w:hAnsi="Times New Roman"/>
          <w:b w:val="0"/>
          <w:i w:val="0"/>
          <w:sz w:val="24"/>
        </w:rPr>
        <w:t>Saira Binte Shahriar</w:t>
      </w:r>
    </w:p>
    <w:p>
      <w:pPr>
        <w:spacing w:line="480" w:lineRule="auto" w:before="0" w:after="0"/>
        <w:jc w:val="center"/>
      </w:pPr>
      <w:r>
        <w:rPr>
          <w:rFonts w:ascii="Times New Roman" w:hAnsi="Times New Roman"/>
          <w:b w:val="0"/>
          <w:i w:val="0"/>
          <w:sz w:val="24"/>
        </w:rPr>
        <w:t>University of the People</w:t>
      </w:r>
    </w:p>
    <w:p>
      <w:pPr>
        <w:spacing w:line="480" w:lineRule="auto" w:before="0" w:after="0"/>
        <w:jc w:val="center"/>
      </w:pPr>
      <w:r>
        <w:rPr>
          <w:rFonts w:ascii="Times New Roman" w:hAnsi="Times New Roman"/>
          <w:b w:val="0"/>
          <w:i w:val="0"/>
          <w:sz w:val="24"/>
        </w:rPr>
        <w:t>ENGL 1102-01: English Composition 2</w:t>
      </w:r>
    </w:p>
    <w:p>
      <w:pPr>
        <w:spacing w:line="480" w:lineRule="auto" w:before="0" w:after="0"/>
        <w:jc w:val="center"/>
      </w:pPr>
      <w:r>
        <w:rPr>
          <w:rFonts w:ascii="Times New Roman" w:hAnsi="Times New Roman"/>
          <w:b w:val="0"/>
          <w:i w:val="0"/>
          <w:sz w:val="24"/>
        </w:rPr>
        <w:t>Aparna Rajith</w:t>
      </w:r>
    </w:p>
    <w:p>
      <w:pPr>
        <w:spacing w:line="480" w:lineRule="auto" w:before="0" w:after="0"/>
        <w:jc w:val="center"/>
      </w:pPr>
      <w:r>
        <w:rPr>
          <w:rFonts w:ascii="Times New Roman" w:hAnsi="Times New Roman"/>
          <w:b w:val="0"/>
          <w:i w:val="0"/>
          <w:sz w:val="24"/>
        </w:rPr>
        <w:t>September 23, 2026</w:t>
      </w:r>
    </w:p>
    <w:p>
      <w:r>
        <w:br w:type="page"/>
      </w:r>
    </w:p>
    <w:p>
      <w:pPr>
        <w:spacing w:line="480" w:lineRule="auto" w:before="0" w:after="0"/>
        <w:jc w:val="center"/>
      </w:pPr>
      <w:r>
        <w:rPr>
          <w:rFonts w:ascii="Times New Roman" w:hAnsi="Times New Roman"/>
          <w:b/>
          <w:i w:val="0"/>
          <w:sz w:val="24"/>
        </w:rPr>
        <w:t>Culinary School Versus On-the-Job Training: Summarizing and Synthesizing the Evidence</w:t>
      </w:r>
    </w:p>
    <w:p>
      <w:pPr>
        <w:spacing w:line="480" w:lineRule="auto" w:before="0" w:after="0"/>
        <w:ind w:firstLine="720"/>
      </w:pPr>
      <w:r>
        <w:rPr>
          <w:rFonts w:ascii="Times New Roman" w:hAnsi="Times New Roman"/>
          <w:b w:val="0"/>
          <w:i w:val="0"/>
          <w:sz w:val="24"/>
        </w:rPr>
        <w:t>My Unit 2 hypothesis predicted that aspiring chefs who spend at least two years working in a kitchen without formal training will end up faster and more adaptable under pressure than chefs who complete a two-year culinary program, while the culinary-school group comes out ahead on technical and food-science knowledge. Below is a closer look at the five sources relevant to that hypothesis, followed by where they agree, where they don't, and what's still missing.</w:t>
      </w:r>
    </w:p>
    <w:p>
      <w:pPr>
        <w:spacing w:line="480" w:lineRule="auto" w:before="0" w:after="0"/>
        <w:jc w:val="center"/>
      </w:pPr>
      <w:r>
        <w:rPr>
          <w:rFonts w:ascii="Times New Roman" w:hAnsi="Times New Roman"/>
          <w:b/>
          <w:i w:val="0"/>
          <w:sz w:val="24"/>
        </w:rPr>
        <w:t>Summarizing the Five Sources</w:t>
      </w:r>
    </w:p>
    <w:p>
      <w:pPr>
        <w:spacing w:line="480" w:lineRule="auto" w:before="0" w:after="0"/>
        <w:ind w:firstLine="720"/>
      </w:pPr>
      <w:r>
        <w:rPr>
          <w:rFonts w:ascii="Times New Roman" w:hAnsi="Times New Roman"/>
          <w:b w:val="0"/>
          <w:i w:val="0"/>
          <w:sz w:val="24"/>
        </w:rPr>
        <w:t xml:space="preserve">Meiser (2024) conducted fieldwork that included 120 hours working in a restaurant kitchen and interviews with fifty chefs and cooks for her book </w:t>
      </w:r>
      <w:r>
        <w:rPr>
          <w:rFonts w:ascii="Times New Roman" w:hAnsi="Times New Roman"/>
          <w:b w:val="0"/>
          <w:i/>
          <w:sz w:val="24"/>
        </w:rPr>
        <w:t>Making It: Success in the Commercial Kitchen</w:t>
      </w:r>
      <w:r>
        <w:rPr>
          <w:rFonts w:ascii="Times New Roman" w:hAnsi="Times New Roman"/>
          <w:b w:val="0"/>
          <w:i w:val="0"/>
          <w:sz w:val="24"/>
        </w:rPr>
        <w:t>. Her central finding is that a cook's rise through the ranks depends less on cooking ability alone than on “kitchen capital,” her term for the mix of workplace know-how and social skill built through time on the job. That emphasis on workplace culture over formal credentials lines up with the on-the-job side of my hypothesis.</w:t>
      </w:r>
    </w:p>
    <w:p>
      <w:pPr>
        <w:spacing w:line="480" w:lineRule="auto" w:before="0" w:after="0"/>
        <w:ind w:firstLine="720"/>
      </w:pPr>
      <w:r>
        <w:rPr>
          <w:rFonts w:ascii="Times New Roman" w:hAnsi="Times New Roman"/>
          <w:b w:val="0"/>
          <w:i w:val="0"/>
          <w:sz w:val="24"/>
        </w:rPr>
        <w:t>Tsui and Chen (2020) ran a quasi-experimental, pretest-post-test study comparing hotel food-and-beverage trainees taught through cognitive apprenticeship against trainees taught by conventional lecturing. They found that “regardless of whether cognitive apprenticeship teaching is adopted, the master–apprentice relationship is the most important factor” in trainees' satisfaction (p. 1951). The apprenticeship group reported higher satisfaction, but this speaks to how trainees felt about learning, not how fast they performed afterward.</w:t>
      </w:r>
    </w:p>
    <w:p>
      <w:pPr>
        <w:spacing w:line="480" w:lineRule="auto" w:before="0" w:after="0"/>
        <w:ind w:firstLine="720"/>
      </w:pPr>
      <w:r>
        <w:rPr>
          <w:rFonts w:ascii="Times New Roman" w:hAnsi="Times New Roman"/>
          <w:b w:val="0"/>
          <w:i w:val="0"/>
          <w:sz w:val="24"/>
        </w:rPr>
        <w:t>Hu et al. (2005) took a more skeptical angle, comparing chefs trained through certification, culinary degrees, and apprenticeships on their food-preparation knowledge and habits. Training type shifted attitudes, but the researchers reported that “the level of training does not make any difference on chefs' nutritional knowledge and practices of healthful food preparation.” That complicates any clean story where one training path simply produces more knowledgeable chefs.</w:t>
      </w:r>
    </w:p>
    <w:p>
      <w:pPr>
        <w:spacing w:line="480" w:lineRule="auto" w:before="0" w:after="0"/>
        <w:ind w:firstLine="720"/>
      </w:pPr>
      <w:r>
        <w:rPr>
          <w:rFonts w:ascii="Times New Roman" w:hAnsi="Times New Roman"/>
          <w:b w:val="0"/>
          <w:i w:val="0"/>
          <w:sz w:val="24"/>
        </w:rPr>
        <w:t>Na, Jung, and Han (2024) surveyed 264 culinary program graduates and found that a strong match between a graduate's major and their job significantly lowered turnover intention and raised job satisfaction, while, in the researchers' words, “skill and educational matches were found to have no statistically significant impact on these outcomes.” Since the study never tested training type itself, job fit likely matters more for satisfaction than educational or skill match, not that training type has no bearing at all.</w:t>
      </w:r>
    </w:p>
    <w:p>
      <w:pPr>
        <w:spacing w:line="480" w:lineRule="auto" w:before="0" w:after="0"/>
        <w:ind w:firstLine="720"/>
      </w:pPr>
      <w:r>
        <w:rPr>
          <w:rFonts w:ascii="Times New Roman" w:hAnsi="Times New Roman"/>
          <w:b w:val="0"/>
          <w:i w:val="0"/>
          <w:sz w:val="24"/>
        </w:rPr>
        <w:t>Frostholm (2023) took the most hands-on approach, spending six months embedded as a “chef's assistant” in two Danish restaurants and a technical college. He describes how he “explored and experienced how craftmanship was studied, assimilated, learned, and mastered, mainly using senses” (p. 3). His ethnographic account captures the largely unspoken way apprentices absorb kitchen skill and social norms together, the closest of these sources to describing what my hypothesis predicts the on-the-job group develops.</w:t>
      </w:r>
    </w:p>
    <w:p>
      <w:pPr>
        <w:spacing w:line="480" w:lineRule="auto" w:before="0" w:after="0"/>
        <w:jc w:val="center"/>
      </w:pPr>
      <w:r>
        <w:rPr>
          <w:rFonts w:ascii="Times New Roman" w:hAnsi="Times New Roman"/>
          <w:b/>
          <w:i w:val="0"/>
          <w:sz w:val="24"/>
        </w:rPr>
        <w:t>Synthesizing the Sources</w:t>
      </w:r>
    </w:p>
    <w:p>
      <w:pPr>
        <w:spacing w:line="480" w:lineRule="auto" w:before="0" w:after="0"/>
        <w:ind w:firstLine="720"/>
      </w:pPr>
      <w:r>
        <w:rPr>
          <w:rFonts w:ascii="Times New Roman" w:hAnsi="Times New Roman"/>
          <w:b w:val="0"/>
          <w:i w:val="0"/>
          <w:sz w:val="24"/>
        </w:rPr>
        <w:t>These five sources approach the question from several different angles rather than splitting cleanly into two sides. Meiser and Frostholm describe kitchen skill as absorbed through immersion and social navigation, and Tsui and Chen's data suggest apprenticeship-style teaching feels more effective to trainees, though it says nothing about their actual speed or competence. Hu et al. and Na, Jung, and Han complicate that picture differently: Hu et al. found no training-level difference in nutritional knowledge or healthful food-preparation practices, while Na, Jung, and Han found that major-job match mattered for job outcomes but skill and educational match did not. Read together, the five suggest that training path and workplace context shape different parts of a cook's professional experience, but none directly compares practical competence between matched culinary-school and on-the-job groups, leaving that specific comparison unanswered in this set of sources.</w:t>
      </w:r>
    </w:p>
    <w:p>
      <w:pPr>
        <w:spacing w:line="480" w:lineRule="auto" w:before="0" w:after="0"/>
        <w:jc w:val="center"/>
      </w:pPr>
      <w:r>
        <w:rPr>
          <w:rFonts w:ascii="Times New Roman" w:hAnsi="Times New Roman"/>
          <w:b/>
          <w:i w:val="0"/>
          <w:sz w:val="24"/>
        </w:rPr>
        <w:t>Identifying the Gap</w:t>
      </w:r>
    </w:p>
    <w:p>
      <w:pPr>
        <w:spacing w:line="480" w:lineRule="auto" w:before="0" w:after="0"/>
        <w:ind w:firstLine="720"/>
      </w:pPr>
      <w:r>
        <w:rPr>
          <w:rFonts w:ascii="Times New Roman" w:hAnsi="Times New Roman"/>
          <w:b w:val="0"/>
          <w:i w:val="0"/>
          <w:sz w:val="24"/>
        </w:rPr>
        <w:t>That is exactly where the gap sits. Every source here studies training type from an angle adjacent to my hypothesis, whether satisfaction, attitudes, or job fit, but none directly measures practical speed and adaptability against technical and food-science grounding for the same two groups under the same conditions. Hu et al. come closest, but their outcome variable is nutritional knowledge, not live-kitchen performance. I plan to address that gap the way Serdikoff (2021) frames a testable hypothesis: by designing a comparison that puts two-year on-the-job cooks and two-year culinary-school graduates through the same timed, high-pressure practical tasks alongside a technical and food-science assessment, while controlling for prior cooking experience and age, so the “who is actually better prepared” question gets tested directly instead of inferred from satisfaction surveys or ethnographic description.</w:t>
      </w:r>
    </w:p>
    <w:p>
      <w:r>
        <w:br w:type="page"/>
      </w:r>
    </w:p>
    <w:p>
      <w:pPr>
        <w:spacing w:line="480" w:lineRule="auto" w:before="0" w:after="0"/>
        <w:jc w:val="center"/>
      </w:pPr>
      <w:r>
        <w:rPr>
          <w:rFonts w:ascii="Times New Roman" w:hAnsi="Times New Roman"/>
          <w:b/>
          <w:i w:val="0"/>
          <w:sz w:val="24"/>
        </w:rPr>
        <w:t>References</w:t>
      </w:r>
    </w:p>
    <w:p>
      <w:pPr>
        <w:spacing w:line="480" w:lineRule="auto" w:before="0" w:after="0"/>
        <w:ind w:left="720" w:hanging="720"/>
      </w:pPr>
      <w:r>
        <w:rPr>
          <w:rFonts w:ascii="Times New Roman" w:hAnsi="Times New Roman"/>
          <w:b w:val="0"/>
          <w:i w:val="0"/>
          <w:sz w:val="24"/>
        </w:rPr>
        <w:t xml:space="preserve">Frostholm, P. H. (2023). The practical craftmanship and social practices of apprentice chefs in a professional kitchen setting. </w:t>
      </w:r>
      <w:r>
        <w:rPr>
          <w:rFonts w:ascii="Times New Roman" w:hAnsi="Times New Roman"/>
          <w:b w:val="0"/>
          <w:i/>
          <w:sz w:val="24"/>
        </w:rPr>
        <w:t>Education in the North, 30</w:t>
      </w:r>
      <w:r>
        <w:rPr>
          <w:rFonts w:ascii="Times New Roman" w:hAnsi="Times New Roman"/>
          <w:b w:val="0"/>
          <w:i w:val="0"/>
          <w:sz w:val="24"/>
        </w:rPr>
        <w:t xml:space="preserve">(1), 3–18. </w:t>
      </w:r>
      <w:hyperlink r:id="rId9">
        <w:r>
          <w:rPr>
            <w:rFonts w:ascii="Times New Roman" w:hAnsi="Times New Roman"/>
            <w:sz w:val="24"/>
            <w:color w:val="0563C1"/>
            <w:u w:val="single"/>
          </w:rPr>
          <w:t>https://www.abdn.ac.uk/uploads/education/documents/journals_documents/Volume_30_Issue_1_Engine_Room/2_EITN_2023_01_02_Frostholm.pdf</w:t>
        </w:r>
      </w:hyperlink>
    </w:p>
    <w:p>
      <w:pPr>
        <w:spacing w:line="480" w:lineRule="auto" w:before="0" w:after="0"/>
        <w:ind w:left="720" w:hanging="720"/>
      </w:pPr>
      <w:r>
        <w:rPr>
          <w:rFonts w:ascii="Times New Roman" w:hAnsi="Times New Roman"/>
          <w:b w:val="0"/>
          <w:i w:val="0"/>
          <w:sz w:val="24"/>
        </w:rPr>
        <w:t xml:space="preserve">Hu, S.-M., Leong, J. K., Wei, C.-I., &amp; Yeh, J.-M. (2005). The impacts of culinary training on healthful food preparation. </w:t>
      </w:r>
      <w:r>
        <w:rPr>
          <w:rFonts w:ascii="Times New Roman" w:hAnsi="Times New Roman"/>
          <w:b w:val="0"/>
          <w:i/>
          <w:sz w:val="24"/>
        </w:rPr>
        <w:t>Journal of Human Resources in Hospitality &amp; Tourism, 4</w:t>
      </w:r>
      <w:r>
        <w:rPr>
          <w:rFonts w:ascii="Times New Roman" w:hAnsi="Times New Roman"/>
          <w:b w:val="0"/>
          <w:i w:val="0"/>
          <w:sz w:val="24"/>
        </w:rPr>
        <w:t xml:space="preserve">(2), 83–97. </w:t>
      </w:r>
      <w:hyperlink r:id="rId10">
        <w:r>
          <w:rPr>
            <w:rFonts w:ascii="Times New Roman" w:hAnsi="Times New Roman"/>
            <w:sz w:val="24"/>
            <w:color w:val="0563C1"/>
            <w:u w:val="single"/>
          </w:rPr>
          <w:t>https://doi.org/10.1300/J171v04n02_05</w:t>
        </w:r>
      </w:hyperlink>
    </w:p>
    <w:p>
      <w:pPr>
        <w:spacing w:line="480" w:lineRule="auto" w:before="0" w:after="0"/>
        <w:ind w:left="720" w:hanging="720"/>
      </w:pPr>
      <w:r>
        <w:rPr>
          <w:rFonts w:ascii="Times New Roman" w:hAnsi="Times New Roman"/>
          <w:b w:val="0"/>
          <w:i w:val="0"/>
          <w:sz w:val="24"/>
        </w:rPr>
        <w:t xml:space="preserve">Meiser, E. T. (2024). </w:t>
      </w:r>
      <w:r>
        <w:rPr>
          <w:rFonts w:ascii="Times New Roman" w:hAnsi="Times New Roman"/>
          <w:b w:val="0"/>
          <w:i/>
          <w:sz w:val="24"/>
        </w:rPr>
        <w:t>Making it: Success in the commercial kitchen</w:t>
      </w:r>
      <w:r>
        <w:rPr>
          <w:rFonts w:ascii="Times New Roman" w:hAnsi="Times New Roman"/>
          <w:b w:val="0"/>
          <w:i w:val="0"/>
          <w:sz w:val="24"/>
        </w:rPr>
        <w:t xml:space="preserve">. Rutgers University Press. </w:t>
      </w:r>
      <w:hyperlink r:id="rId11">
        <w:r>
          <w:rPr>
            <w:rFonts w:ascii="Times New Roman" w:hAnsi="Times New Roman"/>
            <w:sz w:val="24"/>
            <w:color w:val="0563C1"/>
            <w:u w:val="single"/>
          </w:rPr>
          <w:t>https://www.rutgersuniversitypress.org/making-it/9781978840140</w:t>
        </w:r>
      </w:hyperlink>
    </w:p>
    <w:p>
      <w:pPr>
        <w:spacing w:line="480" w:lineRule="auto" w:before="0" w:after="0"/>
        <w:ind w:left="720" w:hanging="720"/>
      </w:pPr>
      <w:r>
        <w:rPr>
          <w:rFonts w:ascii="Times New Roman" w:hAnsi="Times New Roman"/>
          <w:b w:val="0"/>
          <w:i w:val="0"/>
          <w:sz w:val="24"/>
        </w:rPr>
        <w:t xml:space="preserve">Na, T.-K., Jung, I.-Y., &amp; Han, S. (2024). The effect of major, education, and skill match on job satisfaction and turnover intention among culinary arts graduates. </w:t>
      </w:r>
      <w:r>
        <w:rPr>
          <w:rFonts w:ascii="Times New Roman" w:hAnsi="Times New Roman"/>
          <w:b w:val="0"/>
          <w:i/>
          <w:sz w:val="24"/>
        </w:rPr>
        <w:t>Tourism and Hospitality, 5</w:t>
      </w:r>
      <w:r>
        <w:rPr>
          <w:rFonts w:ascii="Times New Roman" w:hAnsi="Times New Roman"/>
          <w:b w:val="0"/>
          <w:i w:val="0"/>
          <w:sz w:val="24"/>
        </w:rPr>
        <w:t xml:space="preserve">(4), 874–886. </w:t>
      </w:r>
      <w:hyperlink r:id="rId12">
        <w:r>
          <w:rPr>
            <w:rFonts w:ascii="Times New Roman" w:hAnsi="Times New Roman"/>
            <w:sz w:val="24"/>
            <w:color w:val="0563C1"/>
            <w:u w:val="single"/>
          </w:rPr>
          <w:t>https://doi.org/10.3390/tourhosp5040050</w:t>
        </w:r>
      </w:hyperlink>
    </w:p>
    <w:p>
      <w:pPr>
        <w:spacing w:line="480" w:lineRule="auto" w:before="0" w:after="0"/>
        <w:ind w:left="720" w:hanging="720"/>
      </w:pPr>
      <w:r>
        <w:rPr>
          <w:rFonts w:ascii="Times New Roman" w:hAnsi="Times New Roman"/>
          <w:b w:val="0"/>
          <w:i w:val="0"/>
          <w:sz w:val="24"/>
        </w:rPr>
        <w:t xml:space="preserve">Serdikoff, S. (2021). </w:t>
      </w:r>
      <w:r>
        <w:rPr>
          <w:rFonts w:ascii="Times New Roman" w:hAnsi="Times New Roman"/>
          <w:b w:val="0"/>
          <w:i/>
          <w:sz w:val="24"/>
        </w:rPr>
        <w:t>Research methods for the behavioral sciences</w:t>
      </w:r>
      <w:r>
        <w:rPr>
          <w:rFonts w:ascii="Times New Roman" w:hAnsi="Times New Roman"/>
          <w:b w:val="0"/>
          <w:i w:val="0"/>
          <w:sz w:val="24"/>
        </w:rPr>
        <w:t xml:space="preserve"> (5th ed.). GALILEO Open Learning Materials. </w:t>
      </w:r>
      <w:hyperlink r:id="rId13">
        <w:r>
          <w:rPr>
            <w:rFonts w:ascii="Times New Roman" w:hAnsi="Times New Roman"/>
            <w:sz w:val="24"/>
            <w:color w:val="0563C1"/>
            <w:u w:val="single"/>
          </w:rPr>
          <w:t>https://oer.galileo.usg.edu/psychology-textbooks/12/</w:t>
        </w:r>
      </w:hyperlink>
    </w:p>
    <w:p>
      <w:pPr>
        <w:spacing w:line="480" w:lineRule="auto" w:before="0" w:after="0"/>
        <w:ind w:left="720" w:hanging="720"/>
      </w:pPr>
      <w:r>
        <w:rPr>
          <w:rFonts w:ascii="Times New Roman" w:hAnsi="Times New Roman"/>
          <w:b w:val="0"/>
          <w:i w:val="0"/>
          <w:sz w:val="24"/>
        </w:rPr>
        <w:t xml:space="preserve">Tsui, P.-L., &amp; Chen, Y.-C. (2020). Sustainable development of hotel food and beverage service training: Learning satisfaction with the situated cognitive apprenticeship approach. </w:t>
      </w:r>
      <w:r>
        <w:rPr>
          <w:rFonts w:ascii="Times New Roman" w:hAnsi="Times New Roman"/>
          <w:b w:val="0"/>
          <w:i/>
          <w:sz w:val="24"/>
        </w:rPr>
        <w:t>Sustainability, 12</w:t>
      </w:r>
      <w:r>
        <w:rPr>
          <w:rFonts w:ascii="Times New Roman" w:hAnsi="Times New Roman"/>
          <w:b w:val="0"/>
          <w:i w:val="0"/>
          <w:sz w:val="24"/>
        </w:rPr>
        <w:t xml:space="preserve">(5), 1951. </w:t>
      </w:r>
      <w:hyperlink r:id="rId14">
        <w:r>
          <w:rPr>
            <w:rFonts w:ascii="Times New Roman" w:hAnsi="Times New Roman"/>
            <w:sz w:val="24"/>
            <w:color w:val="0563C1"/>
            <w:u w:val="single"/>
          </w:rPr>
          <w:t>https://doi.org/10.3390/su12051951</w:t>
        </w:r>
      </w:hyperlink>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abdn.ac.uk/uploads/education/documents/journals_documents/Volume_30_Issue_1_Engine_Room/2_EITN_2023_01_02_Frostholm.pdf" TargetMode="External"/><Relationship Id="rId10" Type="http://schemas.openxmlformats.org/officeDocument/2006/relationships/hyperlink" Target="https://doi.org/10.1300/J171v04n02_05" TargetMode="External"/><Relationship Id="rId11" Type="http://schemas.openxmlformats.org/officeDocument/2006/relationships/hyperlink" Target="https://www.rutgersuniversitypress.org/making-it/9781978840140" TargetMode="External"/><Relationship Id="rId12" Type="http://schemas.openxmlformats.org/officeDocument/2006/relationships/hyperlink" Target="https://doi.org/10.3390/tourhosp5040050" TargetMode="External"/><Relationship Id="rId13" Type="http://schemas.openxmlformats.org/officeDocument/2006/relationships/hyperlink" Target="https://oer.galileo.usg.edu/psychology-textbooks/12/" TargetMode="External"/><Relationship Id="rId14" Type="http://schemas.openxmlformats.org/officeDocument/2006/relationships/hyperlink" Target="https://doi.org/10.3390/su1205195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