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r>
        <w:rPr>
          <w:b/>
          <w:i w:val="0"/>
        </w:rPr>
        <w:t>Culinary School Versus On-the-Job Training: Problem Statement, Objectives, and Research Questions</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ENGL 1102-01: English Composition 2</w:t>
      </w:r>
    </w:p>
    <w:p>
      <w:pPr>
        <w:jc w:val="center"/>
      </w:pPr>
      <w:r>
        <w:rPr>
          <w:b w:val="0"/>
          <w:i w:val="0"/>
        </w:rPr>
        <w:t>Aparna Rajith</w:t>
      </w:r>
    </w:p>
    <w:p>
      <w:pPr>
        <w:jc w:val="center"/>
      </w:pPr>
      <w:r>
        <w:rPr>
          <w:b w:val="0"/>
          <w:i w:val="0"/>
        </w:rPr>
        <w:t>September 30, 2026</w:t>
      </w:r>
      <w:r>
        <w:br w:type="page"/>
      </w:r>
    </w:p>
    <w:p>
      <w:pPr>
        <w:jc w:val="center"/>
      </w:pPr>
      <w:r>
        <w:rPr>
          <w:b/>
          <w:i w:val="0"/>
        </w:rPr>
        <w:t>Culinary School Versus On-the-Job Training: Problem Statement, Objectives, and Research Questions</w:t>
      </w:r>
    </w:p>
    <w:p>
      <w:pPr>
        <w:ind w:firstLine="720"/>
      </w:pPr>
      <w:r>
        <w:rPr>
          <w:b w:val="0"/>
          <w:i w:val="0"/>
        </w:rPr>
        <w:t>Across Units 2 and 3, my research on culinary school versus on-the-job training kept returning to the same unresolved question: plenty of sources describe how cooks learn, but none I reviewed directly tests which path better prepares them for real kitchen work.</w:t>
      </w:r>
    </w:p>
    <w:p>
      <w:pPr>
        <w:jc w:val="center"/>
      </w:pPr>
      <w:r>
        <w:rPr>
          <w:b/>
          <w:i w:val="0"/>
        </w:rPr>
        <w:t>Problem Statement</w:t>
      </w:r>
    </w:p>
    <w:p>
      <w:pPr>
        <w:ind w:firstLine="720"/>
      </w:pPr>
      <w:r>
        <w:rPr>
          <w:b w:val="0"/>
          <w:i w:val="0"/>
        </w:rPr>
        <w:t>Anyone hoping to become a chef faces a costly decision with little evidence behind it. According to the U.S. Bureau of Labor Statistics (n.d.), chefs and head cooks “typically need a high school diploma and work experience to enter the occupation” (“How to Become One” section), while some attend culinary programs and others learn through apprenticeships. A degree isn’t required, yet those who enroll spend years and tuition earning one without knowing what it gives them that the line doesn’t.</w:t>
      </w:r>
    </w:p>
    <w:p>
      <w:pPr>
        <w:ind w:firstLine="720"/>
      </w:pPr>
      <w:r>
        <w:rPr>
          <w:b w:val="0"/>
          <w:i w:val="0"/>
        </w:rPr>
        <w:t>The literature I reviewed doesn’t settle that choice. Meiser (2024) and Frostholm (2023) both show kitchen skill growing through immersion, with Meiser tying career success to “kitchen capital” built on the job. Tsui and Chen (2020) found apprenticeship-style trainees more satisfied, but satisfaction is not performance. Pointing the other way, Hu et al. (2005) found that the level of chefs’ training made no difference to their nutritional knowledge or healthful cooking practices, and Na et al. (2024) reported that among culinary graduates, educational and skill match had no significant effect on job satisfaction or turnover intention. Each study measures something adjacent to the real question: satisfaction, nutrition knowledge, or job match. Even Hu et al., who did compare training types, never tested live kitchen performance.</w:t>
      </w:r>
    </w:p>
    <w:p>
      <w:pPr>
        <w:ind w:firstLine="720"/>
      </w:pPr>
      <w:r>
        <w:rPr>
          <w:b w:val="0"/>
          <w:i w:val="0"/>
        </w:rPr>
        <w:t>That missing comparison is the gap. National University (n.d.) describes a proper problem as “a specific, evidence-based, real-life issue” with negative consequences for the people involved (“What is a problem?” section), and this one fits. Without direct evidence, students may pay tuition for advantages that never appear or skip training that would have helped them, while employers hire without clear evidence either way. Serdikoff (2021) explains that a research question is interesting when its answer is in doubt, fills a gap, and has practical implications (p. 141). My sources disagree, so the answer is open, and it matters to every cook choosing a path.</w:t>
      </w:r>
    </w:p>
    <w:p>
      <w:pPr>
        <w:jc w:val="center"/>
      </w:pPr>
      <w:r>
        <w:rPr>
          <w:b/>
          <w:i w:val="0"/>
        </w:rPr>
        <w:t>Research Objectives</w:t>
      </w:r>
    </w:p>
    <w:p>
      <w:pPr>
        <w:ind w:firstLine="720"/>
      </w:pPr>
      <w:r>
        <w:rPr>
          <w:b w:val="0"/>
          <w:i w:val="0"/>
        </w:rPr>
        <w:t>Following Ryan’s (2023) advice to set one broad aim before specific objectives, this study aims to evaluate how well each path builds cooks’ practical performance and technical knowledge. Each objective opens with a Bloom’s action verb and follows the SMART framework (CFI Team, 2020; Colorado College, 2026). In months 1–2 of a 12-month study, at least 30 early-career cooks per group would be recruited through partner restaurants and culinary schools. Participants would be grouped by primary training route, either two years of on-the-job work or a two-year culinary program, with any extra education or kitchen work recorded. Since kitchen time is inherent to on-the-job training, each path is compared as cooks experience it.</w:t>
      </w:r>
    </w:p>
    <w:p>
      <w:pPr>
        <w:ind w:left="720" w:hanging="360"/>
      </w:pPr>
      <w:r>
        <w:rPr>
          <w:b w:val="0"/>
          <w:i w:val="0"/>
        </w:rPr>
        <w:t>1. Measure both groups’ practical speed and adaptability by recording completion times and rubric-based adaptability scores for handling unplanned changes, such as a missing ingredient, on identical high-pressure kitchen tasks during months 3–6.</w:t>
        <w:br/>
        <w:t>2. Assess both groups’ technical and food-science knowledge with the same standardized written test during months 3–6.</w:t>
        <w:br/>
        <w:t>3. Compare the two groups’ results by month 12, controlling for age and any extra education or kitchen work, to determine whether either training path is associated with stronger results in each skill area.</w:t>
      </w:r>
    </w:p>
    <w:p>
      <w:pPr>
        <w:ind w:firstLine="720"/>
      </w:pPr>
      <w:r>
        <w:rPr>
          <w:b w:val="0"/>
          <w:i w:val="0"/>
        </w:rPr>
        <w:t>These objectives target what my sources left untested: Objective 1 measures the hands-on skill Meiser and Frostholm describe, Objective 2 extends Hu et al.’s knowledge focus beyond nutrition, and Objective 3 replaces indirect signals like satisfaction and job match with a direct comparison.</w:t>
      </w:r>
    </w:p>
    <w:p>
      <w:pPr>
        <w:jc w:val="center"/>
      </w:pPr>
      <w:r>
        <w:rPr>
          <w:b/>
          <w:i w:val="0"/>
        </w:rPr>
        <w:t>Research Questions</w:t>
      </w:r>
    </w:p>
    <w:p>
      <w:pPr>
        <w:ind w:firstLine="720"/>
      </w:pPr>
      <w:r>
        <w:rPr>
          <w:b w:val="0"/>
          <w:i w:val="0"/>
        </w:rPr>
        <w:t>Empirically testable research questions, in Serdikoff’s (2021) terms, are ones expressed through a variable or a relationship between variables (p. 137). The three questions follow the objectives in order.</w:t>
      </w:r>
    </w:p>
    <w:p>
      <w:pPr>
        <w:ind w:left="720"/>
      </w:pPr>
      <w:r>
        <w:rPr>
          <w:b/>
        </w:rPr>
        <w:t>RQ1 (Objective 1):</w:t>
      </w:r>
      <w:r>
        <w:rPr>
          <w:b w:val="0"/>
          <w:i w:val="0"/>
        </w:rPr>
        <w:t xml:space="preserve"> How do on-the-job cooks and culinary-school graduates differ in completion time and adaptability to unplanned changes on identical high-pressure kitchen tasks?</w:t>
      </w:r>
    </w:p>
    <w:p>
      <w:pPr>
        <w:ind w:left="720"/>
      </w:pPr>
      <w:r>
        <w:rPr>
          <w:b/>
        </w:rPr>
        <w:t>RQ2 (Objective 2):</w:t>
      </w:r>
      <w:r>
        <w:rPr>
          <w:b w:val="0"/>
          <w:i w:val="0"/>
        </w:rPr>
        <w:t xml:space="preserve"> How do the two groups differ in technical and food-science knowledge on the same standardized written test?</w:t>
      </w:r>
    </w:p>
    <w:p>
      <w:pPr>
        <w:ind w:left="720"/>
      </w:pPr>
      <w:r>
        <w:rPr>
          <w:b/>
        </w:rPr>
        <w:t>RQ3 (Objective 3):</w:t>
      </w:r>
      <w:r>
        <w:rPr>
          <w:b w:val="0"/>
          <w:i w:val="0"/>
        </w:rPr>
        <w:t xml:space="preserve"> After controlling for age and any extra education or kitchen work, is either training path associated with stronger results in each skill area measured?</w:t>
      </w:r>
    </w:p>
    <w:p>
      <w:pPr>
        <w:ind w:firstLine="720"/>
      </w:pPr>
      <w:r>
        <w:rPr>
          <w:b w:val="0"/>
          <w:i w:val="0"/>
        </w:rPr>
        <w:t>Answering these would show aspiring chefs what each path delivers in a working kitchen.</w:t>
      </w:r>
      <w:r>
        <w:br w:type="page"/>
      </w:r>
    </w:p>
    <w:p>
      <w:pPr>
        <w:jc w:val="center"/>
      </w:pPr>
      <w:r>
        <w:rPr>
          <w:b/>
          <w:i w:val="0"/>
        </w:rPr>
        <w:t>References</w:t>
      </w:r>
    </w:p>
    <w:p>
      <w:pPr>
        <w:ind w:left="720" w:hanging="720"/>
      </w:pPr>
      <w:r>
        <w:rPr>
          <w:b w:val="0"/>
          <w:i w:val="0"/>
        </w:rPr>
        <w:t xml:space="preserve">CFI Team. (2020, June 16). </w:t>
      </w:r>
      <w:r>
        <w:rPr>
          <w:b w:val="0"/>
          <w:i/>
        </w:rPr>
        <w:t>SMART goals</w:t>
      </w:r>
      <w:r>
        <w:rPr>
          <w:b w:val="0"/>
          <w:i w:val="0"/>
        </w:rPr>
        <w:t xml:space="preserve">. Corporate Finance Institute. </w:t>
      </w:r>
      <w:hyperlink r:id="rId10">
        <w:r>
          <w:rPr>
            <w:rStyle w:val="Hyperlink"/>
            <w:color w:val="0563C1"/>
            <w:u w:val="single"/>
          </w:rPr>
          <w:t xml:space="preserve">https://corporatefinanceinstitute.com/resources/management/smart-goal/</w:t>
        </w:r>
      </w:hyperlink>
    </w:p>
    <w:p>
      <w:pPr>
        <w:ind w:left="720" w:hanging="720"/>
      </w:pPr>
      <w:r>
        <w:rPr>
          <w:b w:val="0"/>
          <w:i w:val="0"/>
        </w:rPr>
        <w:t xml:space="preserve">Colorado College. (2026, June 22). </w:t>
      </w:r>
      <w:r>
        <w:rPr>
          <w:b w:val="0"/>
          <w:i/>
        </w:rPr>
        <w:t>Bloom’s revised taxonomy</w:t>
      </w:r>
      <w:r>
        <w:rPr>
          <w:b w:val="0"/>
          <w:i w:val="0"/>
        </w:rPr>
        <w:t xml:space="preserve">. </w:t>
      </w:r>
      <w:hyperlink r:id="rId11">
        <w:r>
          <w:rPr>
            <w:rStyle w:val="Hyperlink"/>
            <w:color w:val="0563C1"/>
            <w:u w:val="single"/>
          </w:rPr>
          <w:t xml:space="preserve">https://www.coloradocollege.edu/other/assessment/how-to-assess-learning/learning-outcomes/blooms-revised-taxonomy.html</w:t>
        </w:r>
      </w:hyperlink>
    </w:p>
    <w:p>
      <w:pPr>
        <w:ind w:left="720" w:hanging="720"/>
      </w:pPr>
      <w:r>
        <w:rPr>
          <w:b w:val="0"/>
          <w:i w:val="0"/>
        </w:rPr>
        <w:t xml:space="preserve">Frostholm, P. H. (2023). The practical craftmanship and social practices of apprentice chefs in a professional kitchen setting. </w:t>
      </w:r>
      <w:r>
        <w:rPr>
          <w:b w:val="0"/>
          <w:i/>
        </w:rPr>
        <w:t>Education in the North, 30</w:t>
      </w:r>
      <w:r>
        <w:rPr>
          <w:b w:val="0"/>
          <w:i w:val="0"/>
        </w:rPr>
        <w:t xml:space="preserve">(1), 3–18. </w:t>
      </w:r>
      <w:hyperlink r:id="rId12">
        <w:r>
          <w:rPr>
            <w:rStyle w:val="Hyperlink"/>
            <w:color w:val="0563C1"/>
            <w:u w:val="single"/>
          </w:rPr>
          <w:t xml:space="preserve">https://doi.org/10.26203/b42z-qx61</w:t>
        </w:r>
      </w:hyperlink>
    </w:p>
    <w:p>
      <w:pPr>
        <w:ind w:left="720" w:hanging="720"/>
      </w:pPr>
      <w:r>
        <w:rPr>
          <w:b w:val="0"/>
          <w:i w:val="0"/>
        </w:rPr>
        <w:t xml:space="preserve">Hu, S.-M., Leong, J. K., Wei, C.-I., &amp; Yeh, J.-M. (2005). The impacts of culinary training on healthful food preparation. </w:t>
      </w:r>
      <w:r>
        <w:rPr>
          <w:b w:val="0"/>
          <w:i/>
        </w:rPr>
        <w:t>Journal of Human Resources in Hospitality &amp; Tourism, 4</w:t>
      </w:r>
      <w:r>
        <w:rPr>
          <w:b w:val="0"/>
          <w:i w:val="0"/>
        </w:rPr>
        <w:t xml:space="preserve">(2), 83–97. </w:t>
      </w:r>
      <w:hyperlink r:id="rId13">
        <w:r>
          <w:rPr>
            <w:rStyle w:val="Hyperlink"/>
            <w:color w:val="0563C1"/>
            <w:u w:val="single"/>
          </w:rPr>
          <w:t xml:space="preserve">https://doi.org/10.1300/J171v04n02_05</w:t>
        </w:r>
      </w:hyperlink>
    </w:p>
    <w:p>
      <w:pPr>
        <w:ind w:left="720" w:hanging="720"/>
      </w:pPr>
      <w:r>
        <w:rPr>
          <w:b w:val="0"/>
          <w:i w:val="0"/>
        </w:rPr>
        <w:t xml:space="preserve">Meiser, E. T. (2024). </w:t>
      </w:r>
      <w:r>
        <w:rPr>
          <w:b w:val="0"/>
          <w:i/>
        </w:rPr>
        <w:t>Making it: Success in the commercial kitchen</w:t>
      </w:r>
      <w:r>
        <w:rPr>
          <w:b w:val="0"/>
          <w:i w:val="0"/>
        </w:rPr>
        <w:t xml:space="preserve">. Rutgers University Press. </w:t>
      </w:r>
      <w:hyperlink r:id="rId14">
        <w:r>
          <w:rPr>
            <w:rStyle w:val="Hyperlink"/>
            <w:color w:val="0563C1"/>
            <w:u w:val="single"/>
          </w:rPr>
          <w:t xml:space="preserve">https://www.rutgersuniversitypress.org/making-it/9781978840140</w:t>
        </w:r>
      </w:hyperlink>
    </w:p>
    <w:p>
      <w:pPr>
        <w:ind w:left="720" w:hanging="720"/>
      </w:pPr>
      <w:r>
        <w:rPr>
          <w:b w:val="0"/>
          <w:i w:val="0"/>
        </w:rPr>
        <w:t xml:space="preserve">Na, T.-K., Jung, I.-Y., &amp; Han, S. (2024). The effect of major, education, and skill match on job satisfaction and turnover intention among culinary arts graduates. </w:t>
      </w:r>
      <w:r>
        <w:rPr>
          <w:b w:val="0"/>
          <w:i/>
        </w:rPr>
        <w:t>Tourism and Hospitality, 5</w:t>
      </w:r>
      <w:r>
        <w:rPr>
          <w:b w:val="0"/>
          <w:i w:val="0"/>
        </w:rPr>
        <w:t xml:space="preserve">(4), 874–886. </w:t>
      </w:r>
      <w:hyperlink r:id="rId15">
        <w:r>
          <w:rPr>
            <w:rStyle w:val="Hyperlink"/>
            <w:color w:val="0563C1"/>
            <w:u w:val="single"/>
          </w:rPr>
          <w:t xml:space="preserve">https://doi.org/10.3390/tourhosp5040050</w:t>
        </w:r>
      </w:hyperlink>
    </w:p>
    <w:p>
      <w:pPr>
        <w:ind w:left="720" w:hanging="720"/>
      </w:pPr>
      <w:r>
        <w:rPr>
          <w:b w:val="0"/>
          <w:i w:val="0"/>
        </w:rPr>
        <w:t xml:space="preserve">National University. (n.d.). </w:t>
      </w:r>
      <w:r>
        <w:rPr>
          <w:b w:val="0"/>
          <w:i/>
        </w:rPr>
        <w:t>Problem statement</w:t>
      </w:r>
      <w:r>
        <w:rPr>
          <w:b w:val="0"/>
          <w:i w:val="0"/>
        </w:rPr>
        <w:t xml:space="preserve">. Research Writing and Analysis. Retrieved September 28, 2026, from </w:t>
      </w:r>
      <w:hyperlink r:id="rId16">
        <w:r>
          <w:rPr>
            <w:rStyle w:val="Hyperlink"/>
            <w:color w:val="0563C1"/>
            <w:u w:val="single"/>
          </w:rPr>
          <w:t xml:space="preserve">https://resources.nu.edu/researchtools/Problem</w:t>
        </w:r>
      </w:hyperlink>
    </w:p>
    <w:p>
      <w:pPr>
        <w:ind w:left="720" w:hanging="720"/>
      </w:pPr>
      <w:r>
        <w:rPr>
          <w:b w:val="0"/>
          <w:i w:val="0"/>
        </w:rPr>
        <w:t xml:space="preserve">Ryan, E. (2023, November 20). </w:t>
      </w:r>
      <w:r>
        <w:rPr>
          <w:b w:val="0"/>
          <w:i/>
        </w:rPr>
        <w:t>Research objectives | Definition &amp; examples</w:t>
      </w:r>
      <w:r>
        <w:rPr>
          <w:b w:val="0"/>
          <w:i w:val="0"/>
        </w:rPr>
        <w:t xml:space="preserve">. Scribbr. </w:t>
      </w:r>
      <w:hyperlink r:id="rId17">
        <w:r>
          <w:rPr>
            <w:rStyle w:val="Hyperlink"/>
            <w:color w:val="0563C1"/>
            <w:u w:val="single"/>
          </w:rPr>
          <w:t xml:space="preserve">https://www.scribbr.com/research-process/research-objectives/</w:t>
        </w:r>
      </w:hyperlink>
    </w:p>
    <w:p>
      <w:pPr>
        <w:ind w:left="720" w:hanging="720"/>
      </w:pPr>
      <w:r>
        <w:rPr>
          <w:b w:val="0"/>
          <w:i w:val="0"/>
        </w:rPr>
        <w:t xml:space="preserve">Serdikoff, S. L. (2021). </w:t>
      </w:r>
      <w:r>
        <w:rPr>
          <w:b w:val="0"/>
          <w:i/>
        </w:rPr>
        <w:t>Research methods for the behavioral sciences</w:t>
      </w:r>
      <w:r>
        <w:rPr>
          <w:b w:val="0"/>
          <w:i w:val="0"/>
        </w:rPr>
        <w:t xml:space="preserve"> (5th ed.). GALILEO Open Learning Materials. </w:t>
      </w:r>
      <w:hyperlink r:id="rId18">
        <w:r>
          <w:rPr>
            <w:rStyle w:val="Hyperlink"/>
            <w:color w:val="0563C1"/>
            <w:u w:val="single"/>
          </w:rPr>
          <w:t xml:space="preserve">https://oer.galileo.usg.edu/psychology-textbooks/12/</w:t>
        </w:r>
      </w:hyperlink>
    </w:p>
    <w:p>
      <w:pPr>
        <w:ind w:left="720" w:hanging="720"/>
      </w:pPr>
      <w:r>
        <w:rPr>
          <w:b w:val="0"/>
          <w:i w:val="0"/>
        </w:rPr>
        <w:t xml:space="preserve">Tsui, P.-L., &amp; Chen, Y.-C. (2020). Sustainable development of hotel food and beverage service training: Learning satisfaction with the situated cognitive apprenticeship approach. </w:t>
      </w:r>
      <w:r>
        <w:rPr>
          <w:b w:val="0"/>
          <w:i/>
        </w:rPr>
        <w:t>Sustainability, 12</w:t>
      </w:r>
      <w:r>
        <w:rPr>
          <w:b w:val="0"/>
          <w:i w:val="0"/>
        </w:rPr>
        <w:t xml:space="preserve">(5), Article 1951. </w:t>
      </w:r>
      <w:hyperlink r:id="rId19">
        <w:r>
          <w:rPr>
            <w:rStyle w:val="Hyperlink"/>
            <w:color w:val="0563C1"/>
            <w:u w:val="single"/>
          </w:rPr>
          <w:t xml:space="preserve">https://doi.org/10.3390/su12051951</w:t>
        </w:r>
      </w:hyperlink>
    </w:p>
    <w:p>
      <w:pPr>
        <w:ind w:left="720" w:hanging="720"/>
      </w:pPr>
      <w:r>
        <w:rPr>
          <w:b w:val="0"/>
          <w:i w:val="0"/>
        </w:rPr>
        <w:t xml:space="preserve">U.S. Bureau of Labor Statistics. (n.d.). </w:t>
      </w:r>
      <w:r>
        <w:rPr>
          <w:b w:val="0"/>
          <w:i/>
        </w:rPr>
        <w:t>Chefs and head cooks</w:t>
      </w:r>
      <w:r>
        <w:rPr>
          <w:b w:val="0"/>
          <w:i w:val="0"/>
        </w:rPr>
        <w:t xml:space="preserve">. Occupational Outlook Handbook. Retrieved September 28, 2026, from </w:t>
      </w:r>
      <w:hyperlink r:id="rId20">
        <w:r>
          <w:rPr>
            <w:rStyle w:val="Hyperlink"/>
            <w:color w:val="0563C1"/>
            <w:u w:val="single"/>
          </w:rPr>
          <w:t xml:space="preserve">https://www.bls.gov/ooh/food-preparation-and-serving/chefs-and-head-cooks.htm</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corporatefinanceinstitute.com/resources/management/smart-goal/" TargetMode="External"/><Relationship Id="rId11" Type="http://schemas.openxmlformats.org/officeDocument/2006/relationships/hyperlink" Target="https://www.coloradocollege.edu/other/assessment/how-to-assess-learning/learning-outcomes/blooms-revised-taxonomy.html" TargetMode="External"/><Relationship Id="rId12" Type="http://schemas.openxmlformats.org/officeDocument/2006/relationships/hyperlink" Target="https://doi.org/10.26203/b42z-qx61" TargetMode="External"/><Relationship Id="rId13" Type="http://schemas.openxmlformats.org/officeDocument/2006/relationships/hyperlink" Target="https://doi.org/10.1300/J171v04n02_05" TargetMode="External"/><Relationship Id="rId14" Type="http://schemas.openxmlformats.org/officeDocument/2006/relationships/hyperlink" Target="https://www.rutgersuniversitypress.org/making-it/9781978840140" TargetMode="External"/><Relationship Id="rId15" Type="http://schemas.openxmlformats.org/officeDocument/2006/relationships/hyperlink" Target="https://doi.org/10.3390/tourhosp5040050" TargetMode="External"/><Relationship Id="rId16" Type="http://schemas.openxmlformats.org/officeDocument/2006/relationships/hyperlink" Target="https://resources.nu.edu/researchtools/Problem" TargetMode="External"/><Relationship Id="rId17" Type="http://schemas.openxmlformats.org/officeDocument/2006/relationships/hyperlink" Target="https://www.scribbr.com/research-process/research-objectives/" TargetMode="External"/><Relationship Id="rId18" Type="http://schemas.openxmlformats.org/officeDocument/2006/relationships/hyperlink" Target="https://oer.galileo.usg.edu/psychology-textbooks/12/" TargetMode="External"/><Relationship Id="rId19" Type="http://schemas.openxmlformats.org/officeDocument/2006/relationships/hyperlink" Target="https://doi.org/10.3390/su12051951" TargetMode="External"/><Relationship Id="rId20" Type="http://schemas.openxmlformats.org/officeDocument/2006/relationships/hyperlink" Target="https://www.bls.gov/ooh/food-preparation-and-serving/chefs-and-head-cook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966</Words>
  <Characters>6124</Characters>
  <Application>Microsoft Macintosh Word</Application>
  <DocSecurity>0</DocSecurity>
  <Lines>100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2026-09-28T21:40:00Z</dcterms:created>
  <dcterms:modified xsi:type="dcterms:W3CDTF">2026-09-28T23:55:00Z</dcterms:modified>
  <cp:category/>
</cp:coreProperties>
</file>