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line="480" w:lineRule="auto" w:before="2160" w:after="0"/>
        <w:jc w:val="center"/>
      </w:pPr>
      <w:r>
        <w:rPr>
          <w:rFonts w:ascii="Times New Roman" w:hAnsi="Times New Roman" w:eastAsia="Times New Roman" w:cs="Times New Roman"/>
          <w:b/>
          <w:i w:val="0"/>
          <w:sz w:val="24"/>
        </w:rPr>
        <w:t>Culinary School Versus On-the-Job Training: A Proposed Study of Cook Preparation</w:t>
      </w:r>
    </w:p>
    <w:p>
      <w:pPr>
        <w:keepNext w:val="0"/>
        <w:widowControl/>
        <w:spacing w:line="480" w:lineRule="auto" w:before="0" w:after="0"/>
        <w:jc w:val="center"/>
      </w:pPr>
      <w:r>
        <w:rPr>
          <w:rFonts w:ascii="Times New Roman" w:hAnsi="Times New Roman" w:eastAsia="Times New Roman" w:cs="Times New Roman"/>
          <w:sz w:val="24"/>
        </w:rPr>
        <w:t>Saira Binte Shahriar</w:t>
      </w:r>
    </w:p>
    <w:p>
      <w:pPr>
        <w:keepNext w:val="0"/>
        <w:widowControl/>
        <w:spacing w:line="480" w:lineRule="auto" w:before="0" w:after="0"/>
        <w:jc w:val="center"/>
      </w:pPr>
      <w:r>
        <w:rPr>
          <w:rFonts w:ascii="Times New Roman" w:hAnsi="Times New Roman" w:eastAsia="Times New Roman" w:cs="Times New Roman"/>
          <w:sz w:val="24"/>
        </w:rPr>
        <w:t>University of the People</w:t>
      </w:r>
    </w:p>
    <w:p>
      <w:pPr>
        <w:keepNext w:val="0"/>
        <w:widowControl/>
        <w:spacing w:line="480" w:lineRule="auto" w:before="0" w:after="0"/>
        <w:jc w:val="center"/>
      </w:pPr>
      <w:r>
        <w:rPr>
          <w:rFonts w:ascii="Times New Roman" w:hAnsi="Times New Roman" w:eastAsia="Times New Roman" w:cs="Times New Roman"/>
          <w:sz w:val="24"/>
        </w:rPr>
        <w:t>ENGL 1102-01: English Composition 2</w:t>
      </w:r>
    </w:p>
    <w:p>
      <w:pPr>
        <w:keepNext w:val="0"/>
        <w:widowControl/>
        <w:spacing w:line="480" w:lineRule="auto" w:before="0" w:after="0"/>
        <w:jc w:val="center"/>
      </w:pPr>
      <w:r>
        <w:rPr>
          <w:rFonts w:ascii="Times New Roman" w:hAnsi="Times New Roman" w:eastAsia="Times New Roman" w:cs="Times New Roman"/>
          <w:sz w:val="24"/>
        </w:rPr>
        <w:t>Aparna Rajith</w:t>
      </w:r>
    </w:p>
    <w:p>
      <w:pPr>
        <w:keepNext w:val="0"/>
        <w:widowControl/>
        <w:spacing w:line="480" w:lineRule="auto" w:before="0" w:after="0"/>
        <w:jc w:val="center"/>
      </w:pPr>
      <w:r>
        <w:rPr>
          <w:rFonts w:ascii="Times New Roman" w:hAnsi="Times New Roman" w:eastAsia="Times New Roman" w:cs="Times New Roman"/>
          <w:sz w:val="24"/>
        </w:rPr>
        <w:t>October 28, 2026</w:t>
      </w:r>
    </w:p>
    <w:p>
      <w:pPr>
        <w:pStyle w:val="Heading1"/>
        <w:keepNext/>
        <w:pageBreakBefore/>
        <w:widowControl/>
        <w:spacing w:line="480" w:lineRule="auto" w:before="0" w:after="0"/>
        <w:jc w:val="center"/>
      </w:pPr>
      <w:r>
        <w:rPr>
          <w:rFonts w:ascii="Times New Roman" w:hAnsi="Times New Roman" w:eastAsia="Times New Roman" w:cs="Times New Roman"/>
          <w:b/>
          <w:sz w:val="24"/>
        </w:rPr>
        <w:t>Abstract</w:t>
      </w:r>
    </w:p>
    <w:p>
      <w:pPr>
        <w:keepNext w:val="0"/>
        <w:widowControl/>
        <w:spacing w:line="480" w:lineRule="auto" w:before="0" w:after="0"/>
        <w:ind w:firstLine="0"/>
        <w:jc w:val="left"/>
      </w:pPr>
      <w:r>
        <w:rPr>
          <w:rFonts w:ascii="Times New Roman" w:hAnsi="Times New Roman" w:eastAsia="Times New Roman" w:cs="Times New Roman"/>
          <w:b w:val="0"/>
          <w:i w:val="0"/>
          <w:sz w:val="24"/>
        </w:rPr>
        <w:t>Chefs can usually enter the field with a high school diploma and kitchen experience, yet some aspiring cooks still pay for culinary programs while others learn on the job. Existing studies describe skill growing through kitchen immersion, report higher satisfaction among apprenticeship-style trainees, and find no link between training level and nutrition knowledge or between graduates’ education match and job satisfaction. None compares how well the two routes prepare cooks for actual kitchen work. Without that evidence, aspiring cooks may pay for benefits that never appear or pass up training that would have paid off. This paper proposes a 12-month study to judge how well each route builds practical performance and technical knowledge. Its objectives are to measure speed and adaptability on identical high-pressure kitchen tasks, to assess technical and food-science knowledge with one written test, and to compare the groups while controlling for age, prior experience, and workplace type. At least 30 early-career cooks per group would be recruited through partner restaurants and culinary schools. The planned mixed-methods design is of the explanatory sequential type: task and test results come first, and interviews afterward help account for them. The study has not been run, so the discussion looks at the current evidence and at what different outcomes would tell a future cook.</w:t>
      </w:r>
    </w:p>
    <w:p>
      <w:pPr>
        <w:pStyle w:val="Heading1"/>
        <w:keepNext/>
        <w:pageBreakBefore/>
        <w:widowControl/>
        <w:spacing w:line="480" w:lineRule="auto" w:before="0" w:after="0"/>
        <w:jc w:val="center"/>
      </w:pPr>
      <w:r>
        <w:rPr>
          <w:rFonts w:ascii="Times New Roman" w:hAnsi="Times New Roman" w:eastAsia="Times New Roman" w:cs="Times New Roman"/>
          <w:b/>
          <w:sz w:val="24"/>
        </w:rPr>
        <w:t>Culinary School Versus On-the-Job Training: A Proposed Study of Cook Preparation</w:t>
      </w:r>
    </w:p>
    <w:p>
      <w:pPr>
        <w:pStyle w:val="Heading1"/>
        <w:keepNext/>
        <w:pageBreakBefore w:val="0"/>
        <w:widowControl/>
        <w:spacing w:line="480" w:lineRule="auto" w:before="0" w:after="0"/>
        <w:jc w:val="center"/>
      </w:pPr>
      <w:r>
        <w:rPr>
          <w:rFonts w:ascii="Times New Roman" w:hAnsi="Times New Roman" w:eastAsia="Times New Roman" w:cs="Times New Roman"/>
          <w:b/>
          <w:sz w:val="24"/>
        </w:rPr>
        <w:t>Introduction</w:t>
      </w:r>
    </w:p>
    <w:p>
      <w:pPr>
        <w:keepNext w:val="0"/>
        <w:widowControl/>
        <w:spacing w:line="480" w:lineRule="auto" w:before="0" w:after="0"/>
        <w:ind w:firstLine="720"/>
        <w:jc w:val="left"/>
      </w:pPr>
      <w:r>
        <w:rPr>
          <w:rFonts w:ascii="Times New Roman" w:hAnsi="Times New Roman" w:eastAsia="Times New Roman" w:cs="Times New Roman"/>
          <w:b w:val="0"/>
          <w:i w:val="0"/>
          <w:sz w:val="24"/>
        </w:rPr>
        <w:t>Every cook who hopes to run a kitchen eventually faces the same decision: spend years and tuition on culinary school, or start working and learn on the line. I hope to run a kitchen one day, so the decision matters to me personally. It matters more widely as well, because students pay for culinary programs, restaurants hire from both routes, and the advice each side offers tends to be confident without being tested.</w:t>
      </w:r>
    </w:p>
    <w:p>
      <w:pPr>
        <w:keepNext w:val="0"/>
        <w:widowControl/>
        <w:spacing w:line="480" w:lineRule="auto" w:before="0" w:after="0"/>
        <w:ind w:firstLine="720"/>
        <w:jc w:val="left"/>
      </w:pPr>
      <w:r>
        <w:rPr>
          <w:rFonts w:ascii="Times New Roman" w:hAnsi="Times New Roman" w:eastAsia="Times New Roman" w:cs="Times New Roman"/>
          <w:b w:val="0"/>
          <w:i w:val="0"/>
          <w:sz w:val="24"/>
        </w:rPr>
        <w:t>Serdikoff (2021) advises opening with the question a study asks and the reason it matters (pp. 754–755). For this paper, the question is which route, two years in a professional kitchen or a two-year culinary program, better prepares a cook for real kitchen work.</w:t>
      </w:r>
    </w:p>
    <w:p>
      <w:pPr>
        <w:keepNext w:val="0"/>
        <w:widowControl/>
        <w:spacing w:line="480" w:lineRule="auto" w:before="0" w:after="0"/>
        <w:ind w:firstLine="720"/>
        <w:jc w:val="left"/>
      </w:pPr>
      <w:r>
        <w:rPr>
          <w:rFonts w:ascii="Times New Roman" w:hAnsi="Times New Roman" w:eastAsia="Times New Roman" w:cs="Times New Roman"/>
          <w:b w:val="0"/>
          <w:i w:val="0"/>
          <w:sz w:val="24"/>
        </w:rPr>
        <w:t>After setting out the background and the problem, the paper states its objectives and questions, reviews five studies, describes the planned method, and considers what the possible findings would tell cooks. A conclusion follows. The paper also folds in my earlier assignments, Units 2 to 7.</w:t>
      </w:r>
    </w:p>
    <w:p>
      <w:pPr>
        <w:pStyle w:val="Heading1"/>
        <w:keepNext/>
        <w:pageBreakBefore w:val="0"/>
        <w:widowControl/>
        <w:spacing w:line="480" w:lineRule="auto" w:before="0" w:after="0"/>
        <w:jc w:val="center"/>
      </w:pPr>
      <w:r>
        <w:rPr>
          <w:rFonts w:ascii="Times New Roman" w:hAnsi="Times New Roman" w:eastAsia="Times New Roman" w:cs="Times New Roman"/>
          <w:b/>
          <w:sz w:val="24"/>
        </w:rPr>
        <w:t>Background</w:t>
      </w:r>
    </w:p>
    <w:p>
      <w:pPr>
        <w:keepNext w:val="0"/>
        <w:widowControl/>
        <w:spacing w:line="480" w:lineRule="auto" w:before="0" w:after="0"/>
        <w:ind w:firstLine="720"/>
        <w:jc w:val="left"/>
      </w:pPr>
      <w:r>
        <w:rPr>
          <w:rFonts w:ascii="Times New Roman" w:hAnsi="Times New Roman" w:eastAsia="Times New Roman" w:cs="Times New Roman"/>
          <w:b w:val="0"/>
          <w:i w:val="0"/>
          <w:sz w:val="24"/>
        </w:rPr>
        <w:t>The U.S. Bureau of Labor Statistics (n.d.) reports that chefs and head cooks “typically need a high school diploma and work experience to enter the occupation” (“How to Become One” section). Some attend culinary programs at community colleges, technical schools, culinary arts schools, or four-year colleges, and others learn through apprenticeships. Because no degree is required, a cook’s training route is a personal choice rather than a rule of the trade.</w:t>
      </w:r>
    </w:p>
    <w:p>
      <w:pPr>
        <w:keepNext w:val="0"/>
        <w:widowControl/>
        <w:spacing w:line="480" w:lineRule="auto" w:before="0" w:after="0"/>
        <w:ind w:firstLine="720"/>
        <w:jc w:val="left"/>
      </w:pPr>
      <w:r>
        <w:rPr>
          <w:rFonts w:ascii="Times New Roman" w:hAnsi="Times New Roman" w:eastAsia="Times New Roman" w:cs="Times New Roman"/>
          <w:b w:val="0"/>
          <w:i w:val="0"/>
          <w:sz w:val="24"/>
        </w:rPr>
        <w:t>Three terms need defining. On-the-job training here means at least two years of paid work in a professional kitchen without a culinary degree. Culinary school means a two-year culinary program. Practical performance means how quickly a cook completes kitchen tasks at an acceptable standard, and adaptability means how well the cook handles unplanned changes, such as a missing ingredient.</w:t>
      </w:r>
    </w:p>
    <w:p>
      <w:pPr>
        <w:keepNext w:val="0"/>
        <w:widowControl/>
        <w:spacing w:line="480" w:lineRule="auto" w:before="0" w:after="0"/>
        <w:ind w:firstLine="720"/>
        <w:jc w:val="left"/>
      </w:pPr>
      <w:r>
        <w:rPr>
          <w:rFonts w:ascii="Times New Roman" w:hAnsi="Times New Roman" w:eastAsia="Times New Roman" w:cs="Times New Roman"/>
          <w:b w:val="0"/>
          <w:i w:val="0"/>
          <w:sz w:val="24"/>
        </w:rPr>
        <w:t>The debate is also about more than cooking. Meiser (2024), a sociologist, studies how restaurant workers build “kitchen capital,” which her publisher describes as a cultural asset based on cooking ability and on how well a worker fits into workplace culture and negotiates its hierarchy. If that is right, what a route teaches about the kitchen’s social world may count as much as the cooking itself, and a fair comparison should measure more than one outcome.</w:t>
      </w:r>
    </w:p>
    <w:p>
      <w:pPr>
        <w:pStyle w:val="Heading1"/>
        <w:keepNext/>
        <w:pageBreakBefore w:val="0"/>
        <w:widowControl/>
        <w:spacing w:line="480" w:lineRule="auto" w:before="0" w:after="0"/>
        <w:jc w:val="center"/>
      </w:pPr>
      <w:r>
        <w:rPr>
          <w:rFonts w:ascii="Times New Roman" w:hAnsi="Times New Roman" w:eastAsia="Times New Roman" w:cs="Times New Roman"/>
          <w:b/>
          <w:sz w:val="24"/>
        </w:rPr>
        <w:t>Problem Statement</w:t>
      </w:r>
    </w:p>
    <w:p>
      <w:pPr>
        <w:keepNext w:val="0"/>
        <w:widowControl/>
        <w:spacing w:line="480" w:lineRule="auto" w:before="0" w:after="0"/>
        <w:ind w:firstLine="720"/>
        <w:jc w:val="left"/>
      </w:pPr>
      <w:r>
        <w:rPr>
          <w:rFonts w:ascii="Times New Roman" w:hAnsi="Times New Roman" w:eastAsia="Times New Roman" w:cs="Times New Roman"/>
          <w:b w:val="0"/>
          <w:i w:val="0"/>
          <w:sz w:val="24"/>
        </w:rPr>
        <w:t>Choosing a training route is expensive and largely guesswork, because the research that exists points in several directions. Meiser (2024) and Frostholm (2023) describe cooks absorbing skill through immersion in the kitchen. Tsui and Chen (2020) found apprenticeship-style trainees more satisfied, although satisfaction is not performance. Hu et al. (2005) reported that chefs’ level of training made no difference to nutritional knowledge or healthful food-preparation practices. Na et al. (2024) found that, among culinary graduates, educational and skill match had no significant effect on job satisfaction or turnover intention.</w:t>
      </w:r>
    </w:p>
    <w:p>
      <w:pPr>
        <w:keepNext w:val="0"/>
        <w:widowControl/>
        <w:spacing w:line="480" w:lineRule="auto" w:before="0" w:after="0"/>
        <w:ind w:firstLine="720"/>
        <w:jc w:val="left"/>
      </w:pPr>
      <w:r>
        <w:rPr>
          <w:rFonts w:ascii="Times New Roman" w:hAnsi="Times New Roman" w:eastAsia="Times New Roman" w:cs="Times New Roman"/>
          <w:b w:val="0"/>
          <w:i w:val="0"/>
          <w:sz w:val="24"/>
        </w:rPr>
        <w:t>Each study measures something beside the real question: satisfaction, nutrition knowledge, job fit, or the experience of learning. Even Hu et al., who compared training programs, did not test performance in a live kitchen. No source I reviewed compares practical speed, adaptability, and technical knowledge for cooks from both routes.</w:t>
      </w:r>
    </w:p>
    <w:p>
      <w:pPr>
        <w:keepNext w:val="0"/>
        <w:widowControl/>
        <w:spacing w:line="480" w:lineRule="auto" w:before="0" w:after="0"/>
        <w:ind w:firstLine="720"/>
        <w:jc w:val="left"/>
      </w:pPr>
      <w:r>
        <w:rPr>
          <w:rFonts w:ascii="Times New Roman" w:hAnsi="Times New Roman" w:eastAsia="Times New Roman" w:cs="Times New Roman"/>
          <w:b w:val="0"/>
          <w:i w:val="0"/>
          <w:sz w:val="24"/>
        </w:rPr>
        <w:t>That missing comparison has consequences. National University (n.d.-a) defines a proper research problem as “a specific, evidence-based, real-life issue” affecting particular people or organizations (“What is a problem?” section). In this case, cooks may spend tuition on advantages that never appear, or skip training that would have helped, while employers hire and promote without direct evidence of what either route delivers. What is unknown is which route builds stronger practical performance and technical knowledge.</w:t>
      </w:r>
    </w:p>
    <w:p>
      <w:pPr>
        <w:pStyle w:val="Heading1"/>
        <w:keepNext/>
        <w:pageBreakBefore w:val="0"/>
        <w:widowControl/>
        <w:spacing w:line="480" w:lineRule="auto" w:before="0" w:after="0"/>
        <w:jc w:val="center"/>
      </w:pPr>
      <w:r>
        <w:rPr>
          <w:rFonts w:ascii="Times New Roman" w:hAnsi="Times New Roman" w:eastAsia="Times New Roman" w:cs="Times New Roman"/>
          <w:b/>
          <w:sz w:val="24"/>
        </w:rPr>
        <w:t>Research Objectives and Questions</w:t>
      </w:r>
    </w:p>
    <w:p>
      <w:pPr>
        <w:keepNext w:val="0"/>
        <w:widowControl/>
        <w:spacing w:line="480" w:lineRule="auto" w:before="0" w:after="0"/>
        <w:ind w:firstLine="720"/>
        <w:jc w:val="left"/>
      </w:pPr>
      <w:r>
        <w:rPr>
          <w:rFonts w:ascii="Times New Roman" w:hAnsi="Times New Roman" w:eastAsia="Times New Roman" w:cs="Times New Roman"/>
          <w:b w:val="0"/>
          <w:i w:val="0"/>
          <w:sz w:val="24"/>
        </w:rPr>
        <w:t>According to Ryan (2023), a single broad aim should be separated from the narrower objectives that serve it. My aim is to evaluate how well each training route develops a cook’s practical performance and technical knowledge. The SMART framework asks for objectives that are specific, measurable, achievable, relevant, and time-bound (CFI Team, 2020). The three below fit a 12-month plan in which months 1–2 go to recruiting at least 30 early-career cooks per group through partner restaurants and culinary schools.</w:t>
      </w:r>
    </w:p>
    <w:p>
      <w:pPr>
        <w:keepNext w:val="0"/>
        <w:widowControl/>
        <w:tabs>
          <w:tab w:pos="1440" w:val="left"/>
        </w:tabs>
        <w:spacing w:line="480" w:lineRule="auto" w:before="0" w:after="0"/>
        <w:ind w:left="1440" w:hanging="720"/>
        <w:jc w:val="left"/>
      </w:pPr>
      <w:r>
        <w:rPr>
          <w:rFonts w:ascii="Times New Roman" w:hAnsi="Times New Roman" w:eastAsia="Times New Roman" w:cs="Times New Roman"/>
          <w:sz w:val="24"/>
        </w:rPr>
        <w:t>1.</w:t>
        <w:tab/>
      </w:r>
      <w:r>
        <w:rPr>
          <w:rFonts w:ascii="Times New Roman" w:hAnsi="Times New Roman" w:eastAsia="Times New Roman" w:cs="Times New Roman"/>
          <w:b w:val="0"/>
          <w:i w:val="0"/>
          <w:sz w:val="24"/>
        </w:rPr>
        <w:t>Measure completion time and adaptability, scored by rubric for coping with an unplanned change such as a missing ingredient, as each group performs the same high-pressure kitchen tasks in months 3–6.</w:t>
      </w:r>
    </w:p>
    <w:p>
      <w:pPr>
        <w:keepNext w:val="0"/>
        <w:widowControl/>
        <w:tabs>
          <w:tab w:pos="1440" w:val="left"/>
        </w:tabs>
        <w:spacing w:line="480" w:lineRule="auto" w:before="0" w:after="0"/>
        <w:ind w:left="1440" w:hanging="720"/>
        <w:jc w:val="left"/>
      </w:pPr>
      <w:r>
        <w:rPr>
          <w:rFonts w:ascii="Times New Roman" w:hAnsi="Times New Roman" w:eastAsia="Times New Roman" w:cs="Times New Roman"/>
          <w:sz w:val="24"/>
        </w:rPr>
        <w:t>2.</w:t>
        <w:tab/>
      </w:r>
      <w:r>
        <w:rPr>
          <w:rFonts w:ascii="Times New Roman" w:hAnsi="Times New Roman" w:eastAsia="Times New Roman" w:cs="Times New Roman"/>
          <w:b w:val="0"/>
          <w:i w:val="0"/>
          <w:sz w:val="24"/>
        </w:rPr>
        <w:t>Assess technical and food-science knowledge by giving both groups one standardized written test in months 3–6.</w:t>
      </w:r>
    </w:p>
    <w:p>
      <w:pPr>
        <w:keepNext w:val="0"/>
        <w:widowControl/>
        <w:tabs>
          <w:tab w:pos="1440" w:val="left"/>
        </w:tabs>
        <w:spacing w:line="480" w:lineRule="auto" w:before="0" w:after="0"/>
        <w:ind w:left="1440" w:hanging="720"/>
        <w:jc w:val="left"/>
      </w:pPr>
      <w:r>
        <w:rPr>
          <w:rFonts w:ascii="Times New Roman" w:hAnsi="Times New Roman" w:eastAsia="Times New Roman" w:cs="Times New Roman"/>
          <w:sz w:val="24"/>
        </w:rPr>
        <w:t>3.</w:t>
        <w:tab/>
      </w:r>
      <w:r>
        <w:rPr>
          <w:rFonts w:ascii="Times New Roman" w:hAnsi="Times New Roman" w:eastAsia="Times New Roman" w:cs="Times New Roman"/>
          <w:b w:val="0"/>
          <w:i w:val="0"/>
          <w:sz w:val="24"/>
        </w:rPr>
        <w:t>Compare the groups on both skill areas by month 12, adjusting for age, prior experience, and workplace type, to see whether either route is linked to stronger results.</w:t>
      </w:r>
    </w:p>
    <w:p>
      <w:pPr>
        <w:keepNext w:val="0"/>
        <w:widowControl/>
        <w:spacing w:line="480" w:lineRule="auto" w:before="0" w:after="0"/>
        <w:ind w:firstLine="720"/>
        <w:jc w:val="left"/>
      </w:pPr>
      <w:r>
        <w:rPr>
          <w:rFonts w:ascii="Times New Roman" w:hAnsi="Times New Roman" w:eastAsia="Times New Roman" w:cs="Times New Roman"/>
          <w:b w:val="0"/>
          <w:i w:val="0"/>
          <w:sz w:val="24"/>
        </w:rPr>
        <w:t>Together, these objectives cover what the sources left untested. The first captures the hands-on skill that Meiser and Frostholm describe, the second stretches Hu et al.’s focus on nutrition into wider technical knowledge, and the third swaps indirect signals such as satisfaction and job match for a direct comparison.</w:t>
      </w:r>
    </w:p>
    <w:p>
      <w:pPr>
        <w:keepNext w:val="0"/>
        <w:widowControl/>
        <w:spacing w:line="480" w:lineRule="auto" w:before="0" w:after="0"/>
        <w:ind w:firstLine="720"/>
        <w:jc w:val="left"/>
      </w:pPr>
      <w:r>
        <w:rPr>
          <w:rFonts w:ascii="Times New Roman" w:hAnsi="Times New Roman" w:eastAsia="Times New Roman" w:cs="Times New Roman"/>
          <w:b w:val="0"/>
          <w:i w:val="0"/>
          <w:sz w:val="24"/>
        </w:rPr>
        <w:t>Serdikoff (2021) defines an empirically testable question as one framed around a single variable or a relationship between variables (p. 137). Each question below corresponds to the objective with the same number:</w:t>
      </w:r>
    </w:p>
    <w:p>
      <w:pPr>
        <w:keepNext w:val="0"/>
        <w:widowControl/>
        <w:tabs>
          <w:tab w:pos="1440" w:val="left"/>
        </w:tabs>
        <w:spacing w:line="480" w:lineRule="auto" w:before="0" w:after="0"/>
        <w:ind w:left="1440" w:hanging="720"/>
        <w:jc w:val="left"/>
      </w:pPr>
      <w:r>
        <w:rPr>
          <w:rFonts w:ascii="Times New Roman" w:hAnsi="Times New Roman" w:eastAsia="Times New Roman" w:cs="Times New Roman"/>
          <w:sz w:val="24"/>
        </w:rPr>
        <w:t>1.</w:t>
        <w:tab/>
      </w:r>
      <w:r>
        <w:rPr>
          <w:rFonts w:ascii="Times New Roman" w:hAnsi="Times New Roman" w:eastAsia="Times New Roman" w:cs="Times New Roman"/>
          <w:b w:val="0"/>
          <w:i w:val="0"/>
          <w:sz w:val="24"/>
        </w:rPr>
        <w:t>How do the two groups differ in the time they need, and the adaptability they show, when identical pressured kitchen tasks are interrupted by an unplanned change?</w:t>
      </w:r>
    </w:p>
    <w:p>
      <w:pPr>
        <w:keepNext w:val="0"/>
        <w:widowControl/>
        <w:tabs>
          <w:tab w:pos="1440" w:val="left"/>
        </w:tabs>
        <w:spacing w:line="480" w:lineRule="auto" w:before="0" w:after="0"/>
        <w:ind w:left="1440" w:hanging="720"/>
        <w:jc w:val="left"/>
      </w:pPr>
      <w:r>
        <w:rPr>
          <w:rFonts w:ascii="Times New Roman" w:hAnsi="Times New Roman" w:eastAsia="Times New Roman" w:cs="Times New Roman"/>
          <w:sz w:val="24"/>
        </w:rPr>
        <w:t>2.</w:t>
        <w:tab/>
      </w:r>
      <w:r>
        <w:rPr>
          <w:rFonts w:ascii="Times New Roman" w:hAnsi="Times New Roman" w:eastAsia="Times New Roman" w:cs="Times New Roman"/>
          <w:b w:val="0"/>
          <w:i w:val="0"/>
          <w:sz w:val="24"/>
        </w:rPr>
        <w:t>How do their scores differ on a single standardized test of technical and food-science knowledge?</w:t>
      </w:r>
    </w:p>
    <w:p>
      <w:pPr>
        <w:keepNext w:val="0"/>
        <w:widowControl/>
        <w:tabs>
          <w:tab w:pos="1440" w:val="left"/>
        </w:tabs>
        <w:spacing w:line="480" w:lineRule="auto" w:before="0" w:after="0"/>
        <w:ind w:left="1440" w:hanging="720"/>
        <w:jc w:val="left"/>
      </w:pPr>
      <w:r>
        <w:rPr>
          <w:rFonts w:ascii="Times New Roman" w:hAnsi="Times New Roman" w:eastAsia="Times New Roman" w:cs="Times New Roman"/>
          <w:sz w:val="24"/>
        </w:rPr>
        <w:t>3.</w:t>
        <w:tab/>
      </w:r>
      <w:r>
        <w:rPr>
          <w:rFonts w:ascii="Times New Roman" w:hAnsi="Times New Roman" w:eastAsia="Times New Roman" w:cs="Times New Roman"/>
          <w:b w:val="0"/>
          <w:i w:val="0"/>
          <w:sz w:val="24"/>
        </w:rPr>
        <w:t>Once age, prior experience, and workplace type are accounted for, does either route stand out in either skill area?</w:t>
      </w:r>
    </w:p>
    <w:p>
      <w:pPr>
        <w:keepNext w:val="0"/>
        <w:widowControl/>
        <w:spacing w:line="480" w:lineRule="auto" w:before="0" w:after="0"/>
        <w:ind w:firstLine="720"/>
        <w:jc w:val="left"/>
      </w:pPr>
      <w:r>
        <w:rPr>
          <w:rFonts w:ascii="Times New Roman" w:hAnsi="Times New Roman" w:eastAsia="Times New Roman" w:cs="Times New Roman"/>
          <w:b w:val="0"/>
          <w:i w:val="0"/>
          <w:sz w:val="24"/>
        </w:rPr>
        <w:t>The Unit 2 hypothesis carries forward in a tighter form: after two years, on-the-job cooks will be faster and more adaptable under time pressure, while culinary-school graduates will score higher on technical and food-science knowledge.</w:t>
      </w:r>
    </w:p>
    <w:p>
      <w:pPr>
        <w:pStyle w:val="Heading1"/>
        <w:keepNext/>
        <w:pageBreakBefore w:val="0"/>
        <w:widowControl/>
        <w:spacing w:line="480" w:lineRule="auto" w:before="0" w:after="0"/>
        <w:jc w:val="center"/>
      </w:pPr>
      <w:r>
        <w:rPr>
          <w:rFonts w:ascii="Times New Roman" w:hAnsi="Times New Roman" w:eastAsia="Times New Roman" w:cs="Times New Roman"/>
          <w:b/>
          <w:sz w:val="24"/>
        </w:rPr>
        <w:t>Literature Review</w:t>
      </w:r>
    </w:p>
    <w:p>
      <w:pPr>
        <w:keepNext w:val="0"/>
        <w:widowControl/>
        <w:spacing w:line="480" w:lineRule="auto" w:before="0" w:after="0"/>
        <w:ind w:firstLine="720"/>
        <w:jc w:val="left"/>
      </w:pPr>
      <w:r>
        <w:rPr>
          <w:rFonts w:ascii="Times New Roman" w:hAnsi="Times New Roman" w:eastAsia="Times New Roman" w:cs="Times New Roman"/>
          <w:b w:val="0"/>
          <w:i w:val="0"/>
          <w:sz w:val="24"/>
        </w:rPr>
        <w:t>George (2025b) describes the CRAAP test as five questions about a source’s purpose, accuracy, authority, relevance, and currency, and I used those questions to choose among candidates. Four of the studies below are journal articles, and the fifth is a book from a university press. They come from sociology, hospitality, and vocational education. Their designs also differ, which helps because each design shows something the others cannot: ethnography, a quasi-experiment, a comparison of training programs, and a graduate survey.</w:t>
      </w:r>
    </w:p>
    <w:p>
      <w:pPr>
        <w:keepNext w:val="0"/>
        <w:widowControl/>
        <w:spacing w:line="480" w:lineRule="auto" w:before="0" w:after="0"/>
        <w:ind w:firstLine="720"/>
        <w:jc w:val="left"/>
      </w:pPr>
      <w:r>
        <w:rPr>
          <w:rFonts w:ascii="Times New Roman" w:hAnsi="Times New Roman" w:eastAsia="Times New Roman" w:cs="Times New Roman"/>
          <w:b w:val="0"/>
          <w:i w:val="0"/>
          <w:sz w:val="24"/>
        </w:rPr>
        <w:t>Two sources show how kitchen skill is learned. According to its publisher, Meiser’s (2024) book combines 120 hours of work in a restaurant kitchen with interviews of 50 chefs and cooks from fine-dining restaurants and diners, and it concludes that careers depend on kitchen capital. Frostholm (2023) spent six months in late 2022 doing fieldwork as a chef’s assistant, at a technical college’s chef training program and in two high-end Danish restaurants, exploring how craftmanship was “studied, assimilated, learned, and mastered, mainly using senses” (Abstract). Both give depth and context that a test score cannot. Both are also built to describe, not to compare. Meiser’s evidence concerns careers rather than measured skill, and Frostholm’s fieldwork spans school and kitchen, so it cannot separate their effects.</w:t>
      </w:r>
    </w:p>
    <w:p>
      <w:pPr>
        <w:keepNext w:val="0"/>
        <w:widowControl/>
        <w:spacing w:line="480" w:lineRule="auto" w:before="0" w:after="0"/>
        <w:ind w:firstLine="720"/>
        <w:jc w:val="left"/>
      </w:pPr>
      <w:r>
        <w:rPr>
          <w:rFonts w:ascii="Times New Roman" w:hAnsi="Times New Roman" w:eastAsia="Times New Roman" w:cs="Times New Roman"/>
          <w:b w:val="0"/>
          <w:i w:val="0"/>
          <w:sz w:val="24"/>
        </w:rPr>
        <w:t>Tsui and Chen (2020) tested a training method rather than a training route. Their pretest–posttest study of new food-and-beverage employees at five-star hotels in Taiwan compared an eight-week practicum taught through cognitive apprenticeship with one taught by lecturing. Satisfaction was higher in the apprenticeship group, and the authors found that “regardless of whether cognitive apprenticeship teaching is adopted, the master–apprentice relationship is the most important factor” in satisfaction (Abstract). The groups were not randomly assigned, so they may have differed in advance (Serdikoff, 2021, p. 604), and satisfaction shows how trainees felt, not how well they cook.</w:t>
      </w:r>
    </w:p>
    <w:p>
      <w:pPr>
        <w:keepNext w:val="0"/>
        <w:widowControl/>
        <w:spacing w:line="480" w:lineRule="auto" w:before="0" w:after="0"/>
        <w:ind w:firstLine="720"/>
        <w:jc w:val="left"/>
      </w:pPr>
      <w:r>
        <w:rPr>
          <w:rFonts w:ascii="Times New Roman" w:hAnsi="Times New Roman" w:eastAsia="Times New Roman" w:cs="Times New Roman"/>
          <w:b w:val="0"/>
          <w:i w:val="0"/>
          <w:sz w:val="24"/>
        </w:rPr>
        <w:t>Hu et al. (2005) came closest to comparing routes. They evaluated certified, culinary-degree, and apprenticeship programs for their effects on chefs’ nutrition education, attitudes, and practices. Training techniques influenced attitudes toward healthful food preparation, but “the level of training does not make any difference on chefs’ nutritional knowledge and practices of healthful food preparation” (Abstract). That warns against assuming one route always produces better-informed cooks. Nutrition, however, is a narrow outcome, and the abstract does not describe any test of live-kitchen performance.</w:t>
      </w:r>
    </w:p>
    <w:p>
      <w:pPr>
        <w:keepNext w:val="0"/>
        <w:widowControl/>
        <w:spacing w:line="480" w:lineRule="auto" w:before="0" w:after="0"/>
        <w:ind w:firstLine="720"/>
        <w:jc w:val="left"/>
      </w:pPr>
      <w:r>
        <w:rPr>
          <w:rFonts w:ascii="Times New Roman" w:hAnsi="Times New Roman" w:eastAsia="Times New Roman" w:cs="Times New Roman"/>
          <w:b w:val="0"/>
          <w:i w:val="0"/>
          <w:sz w:val="24"/>
        </w:rPr>
        <w:t>Na et al. (2024) analyzed responses from 264 graduates of culinary-related programs in the Graduate Occupational Mobility Survey. A closer match between a graduate’s major and job lowered turnover intention and raised job satisfaction, while “skill and educational matches were found to have no statistically significant impact on these outcomes” (Abstract). Every respondent was a program graduate, so the study cannot compare graduates with cooks who trained on the job. Its message concerns fit between worker and job, not which route builds skill.</w:t>
      </w:r>
    </w:p>
    <w:p>
      <w:pPr>
        <w:keepNext w:val="0"/>
        <w:widowControl/>
        <w:spacing w:line="480" w:lineRule="auto" w:before="0" w:after="0"/>
        <w:ind w:firstLine="720"/>
        <w:jc w:val="left"/>
      </w:pPr>
      <w:r>
        <w:rPr>
          <w:rFonts w:ascii="Times New Roman" w:hAnsi="Times New Roman" w:eastAsia="Times New Roman" w:cs="Times New Roman"/>
          <w:b w:val="0"/>
          <w:i w:val="0"/>
          <w:sz w:val="24"/>
        </w:rPr>
        <w:t>Each source therefore answers a different question from the one asked here. Meiser and Frostholm ask how skill and standing are acquired, and they answer by description. Tsui and Chen ask whether a teaching method raises satisfaction, and it did. Hu et al. ask whether a training program changes nutrition knowledge, attitudes, and practices, and it changed attitudes only. Na et al. ask whether job match affects satisfaction and turnover, and major–job match did while education and skill match did not. None measured speed, adaptability, and technical knowledge for cooks from both routes under the same conditions. My study is designed to fill that gap.</w:t>
      </w:r>
    </w:p>
    <w:p>
      <w:pPr>
        <w:pStyle w:val="Heading1"/>
        <w:keepNext/>
        <w:pageBreakBefore w:val="0"/>
        <w:widowControl/>
        <w:spacing w:line="480" w:lineRule="auto" w:before="0" w:after="0"/>
        <w:jc w:val="center"/>
      </w:pPr>
      <w:r>
        <w:rPr>
          <w:rFonts w:ascii="Times New Roman" w:hAnsi="Times New Roman" w:eastAsia="Times New Roman" w:cs="Times New Roman"/>
          <w:b/>
          <w:sz w:val="24"/>
        </w:rPr>
        <w:t>Methodology</w:t>
      </w:r>
    </w:p>
    <w:p>
      <w:pPr>
        <w:keepNext w:val="0"/>
        <w:widowControl/>
        <w:spacing w:line="480" w:lineRule="auto" w:before="0" w:after="0"/>
        <w:ind w:firstLine="720"/>
        <w:jc w:val="left"/>
      </w:pPr>
      <w:r>
        <w:rPr>
          <w:rFonts w:ascii="Times New Roman" w:hAnsi="Times New Roman" w:eastAsia="Times New Roman" w:cs="Times New Roman"/>
          <w:b w:val="0"/>
          <w:i w:val="0"/>
          <w:sz w:val="24"/>
        </w:rPr>
        <w:t>For a method section, Serdikoff (2021) wants enough detail that another researcher could repeat the work (p. 761). The plan below is organized around that standard.</w:t>
      </w:r>
    </w:p>
    <w:p>
      <w:pPr>
        <w:pStyle w:val="Heading2"/>
        <w:keepNext/>
        <w:pageBreakBefore w:val="0"/>
        <w:widowControl/>
        <w:spacing w:line="480" w:lineRule="auto" w:before="0" w:after="0"/>
        <w:jc w:val="left"/>
      </w:pPr>
      <w:r>
        <w:rPr>
          <w:rFonts w:ascii="Times New Roman" w:hAnsi="Times New Roman" w:eastAsia="Times New Roman" w:cs="Times New Roman"/>
          <w:b/>
          <w:sz w:val="24"/>
        </w:rPr>
        <w:t>Design</w:t>
      </w:r>
    </w:p>
    <w:p>
      <w:pPr>
        <w:keepNext w:val="0"/>
        <w:widowControl/>
        <w:spacing w:line="480" w:lineRule="auto" w:before="0" w:after="0"/>
        <w:ind w:firstLine="720"/>
        <w:jc w:val="left"/>
      </w:pPr>
      <w:r>
        <w:rPr>
          <w:rFonts w:ascii="Times New Roman" w:hAnsi="Times New Roman" w:eastAsia="Times New Roman" w:cs="Times New Roman"/>
          <w:b w:val="0"/>
          <w:i w:val="0"/>
          <w:sz w:val="24"/>
        </w:rPr>
        <w:t>I chose the explanatory sequential form of mixed-methods research, where the measured results come first and qualitative data follow to help account for them (George, 2025a). Numbers are needed to compare the routes fairly, while interviews can show why a cook handled a disruption well or badly. George (2025a) cautions that mixed-methods work is demanding for a single researcher, so only a few cooks from each route would be interviewed.</w:t>
      </w:r>
    </w:p>
    <w:p>
      <w:pPr>
        <w:pStyle w:val="Heading2"/>
        <w:keepNext/>
        <w:pageBreakBefore w:val="0"/>
        <w:widowControl/>
        <w:spacing w:line="480" w:lineRule="auto" w:before="0" w:after="0"/>
        <w:jc w:val="left"/>
      </w:pPr>
      <w:r>
        <w:rPr>
          <w:rFonts w:ascii="Times New Roman" w:hAnsi="Times New Roman" w:eastAsia="Times New Roman" w:cs="Times New Roman"/>
          <w:b/>
          <w:sz w:val="24"/>
        </w:rPr>
        <w:t>Participants</w:t>
      </w:r>
    </w:p>
    <w:p>
      <w:pPr>
        <w:keepNext w:val="0"/>
        <w:widowControl/>
        <w:spacing w:line="480" w:lineRule="auto" w:before="0" w:after="0"/>
        <w:ind w:firstLine="720"/>
        <w:jc w:val="left"/>
      </w:pPr>
      <w:r>
        <w:rPr>
          <w:rFonts w:ascii="Times New Roman" w:hAnsi="Times New Roman" w:eastAsia="Times New Roman" w:cs="Times New Roman"/>
          <w:b w:val="0"/>
          <w:i w:val="0"/>
          <w:sz w:val="24"/>
        </w:rPr>
        <w:t>National University (n.d.-b) distinguishes the target population from the accessible population, the part a researcher can realistically reach. Here the accessible population is early-career cooks connected to partner restaurants and culinary schools. Serdikoff (2021) notes that studying people who happen to be nearby and willing to take part is probably the most widespread way to sample in the behavioral sciences (p. 561), and a convenience sample suits one researcher.</w:t>
      </w:r>
    </w:p>
    <w:p>
      <w:pPr>
        <w:keepNext w:val="0"/>
        <w:widowControl/>
        <w:spacing w:line="480" w:lineRule="auto" w:before="0" w:after="0"/>
        <w:ind w:firstLine="720"/>
        <w:jc w:val="left"/>
      </w:pPr>
      <w:r>
        <w:rPr>
          <w:rFonts w:ascii="Times New Roman" w:hAnsi="Times New Roman" w:eastAsia="Times New Roman" w:cs="Times New Roman"/>
          <w:b w:val="0"/>
          <w:i w:val="0"/>
          <w:sz w:val="24"/>
        </w:rPr>
        <w:t>Cooks would be placed in a group by their main route. The on-the-job group has at least two years of paid kitchen work and no culinary degree. The culinary-school group has completed a two-year program and has less than 12 months of paid kitchen work beyond any required externship. Many cooks have both, so anyone with a program and 12 or more months of additional paid work would go into a third, mixed group. That group would be analyzed separately as an exploratory comparison and excluded from the main test, so that the two routes stay distinct.</w:t>
      </w:r>
    </w:p>
    <w:p>
      <w:pPr>
        <w:keepNext w:val="0"/>
        <w:widowControl/>
        <w:spacing w:line="480" w:lineRule="auto" w:before="0" w:after="0"/>
        <w:ind w:firstLine="720"/>
        <w:jc w:val="left"/>
      </w:pPr>
      <w:r>
        <w:rPr>
          <w:rFonts w:ascii="Times New Roman" w:hAnsi="Times New Roman" w:eastAsia="Times New Roman" w:cs="Times New Roman"/>
          <w:b w:val="0"/>
          <w:i w:val="0"/>
          <w:sz w:val="24"/>
        </w:rPr>
        <w:t>At least 30 cooks per group is a starting point, not a final number. Whether it is enough depends on how large a difference is expected, how much cooks’ scores vary, and how many people can realistically be recruited. A power calculation using variability from the pilot would set the final target before recruitment begins.</w:t>
      </w:r>
    </w:p>
    <w:p>
      <w:pPr>
        <w:keepNext w:val="0"/>
        <w:widowControl/>
        <w:spacing w:line="480" w:lineRule="auto" w:before="0" w:after="0"/>
        <w:ind w:firstLine="720"/>
        <w:jc w:val="left"/>
      </w:pPr>
      <w:r>
        <w:rPr>
          <w:rFonts w:ascii="Times New Roman" w:hAnsi="Times New Roman" w:eastAsia="Times New Roman" w:cs="Times New Roman"/>
          <w:b w:val="0"/>
          <w:i w:val="0"/>
          <w:sz w:val="24"/>
        </w:rPr>
        <w:t>Cooks choose their own route, so the groups are nonequivalent and may differ before training begins (Serdikoff, 2021, p. 604). A short questionnaire would record age, months and kind of paid kitchen experience, and the reasons for choosing the route, such as cost, family advice, or job access. Recruitment would also record the type of workplace, such as fine dining, casual restaurant, or hotel, and the type of school, such as community college or private institute. Recruiters would aim for a similar mix of workplace types in both groups, and these details would serve as statistical controls. Because kitchen time is built into on-the-job training, each route is compared as cooks actually experience it.</w:t>
      </w:r>
    </w:p>
    <w:p>
      <w:pPr>
        <w:pStyle w:val="Heading2"/>
        <w:keepNext/>
        <w:pageBreakBefore w:val="0"/>
        <w:widowControl/>
        <w:spacing w:line="480" w:lineRule="auto" w:before="0" w:after="0"/>
        <w:jc w:val="left"/>
      </w:pPr>
      <w:r>
        <w:rPr>
          <w:rFonts w:ascii="Times New Roman" w:hAnsi="Times New Roman" w:eastAsia="Times New Roman" w:cs="Times New Roman"/>
          <w:b/>
          <w:sz w:val="24"/>
        </w:rPr>
        <w:t>Measures and Procedure</w:t>
      </w:r>
    </w:p>
    <w:p>
      <w:pPr>
        <w:keepNext w:val="0"/>
        <w:widowControl/>
        <w:spacing w:line="480" w:lineRule="auto" w:before="0" w:after="0"/>
        <w:ind w:firstLine="720"/>
        <w:jc w:val="left"/>
      </w:pPr>
      <w:r>
        <w:rPr>
          <w:rFonts w:ascii="Times New Roman" w:hAnsi="Times New Roman" w:eastAsia="Times New Roman" w:cs="Times New Roman"/>
          <w:b w:val="0"/>
          <w:i w:val="0"/>
          <w:sz w:val="24"/>
        </w:rPr>
        <w:t>Months 1–2 would cover recruitment, consent, and a pilot run of the tasks and rubric with four to six cooks who are not in the study. In months 3–6, every participant would complete the same assessment under the same conditions. Each cook would work alone in one test kitchen in the morning, with identical equipment, identically portioned ingredients, and written recipe cards. The tasks use standard techniques taught in both routes, such as knife work, sautéing, and a pan sauce. Each cook would also have a short orientation and one unscored practice dish, so that familiarity with the room does not decide the results. The order of dishes would be randomized, and one planned disruption, a missing ingredient, would be introduced at the same point for everyone.</w:t>
      </w:r>
    </w:p>
    <w:p>
      <w:pPr>
        <w:keepNext w:val="0"/>
        <w:widowControl/>
        <w:spacing w:line="480" w:lineRule="auto" w:before="0" w:after="0"/>
        <w:ind w:firstLine="720"/>
        <w:jc w:val="left"/>
      </w:pPr>
      <w:r>
        <w:rPr>
          <w:rFonts w:ascii="Times New Roman" w:hAnsi="Times New Roman" w:eastAsia="Times New Roman" w:cs="Times New Roman"/>
          <w:b w:val="0"/>
          <w:i w:val="0"/>
          <w:sz w:val="24"/>
        </w:rPr>
        <w:t>Speed is the time from the start signal to a plated dish, and a dish counts as finished only when it meets a minimum quality checklist, so speed is not rewarded at the expense of quality. Adaptability would be scored with a rubric built before data collection by three experienced chefs. It rates four things on a scale of 1 to 4: how soon the cook notices the problem, how workable the substitute is, how well the other dishes stay on schedule, and the final quality. Two chefs who are not told a cook’s route would score every performance independently. The pilot would be used to refine the rubric’s descriptions, and the level of agreement between the two chefs would be calculated, with any differences discussed until resolved.</w:t>
      </w:r>
    </w:p>
    <w:p>
      <w:pPr>
        <w:keepNext w:val="0"/>
        <w:widowControl/>
        <w:spacing w:line="480" w:lineRule="auto" w:before="0" w:after="0"/>
        <w:ind w:firstLine="720"/>
        <w:jc w:val="left"/>
      </w:pPr>
      <w:r>
        <w:rPr>
          <w:rFonts w:ascii="Times New Roman" w:hAnsi="Times New Roman" w:eastAsia="Times New Roman" w:cs="Times New Roman"/>
          <w:b w:val="0"/>
          <w:i w:val="0"/>
          <w:sz w:val="24"/>
        </w:rPr>
        <w:t>Technical knowledge would be measured by one written test of about 40 questions on cooking technique, food safety, and food science. Culinary instructors and working chefs would review the questions, and the same test would go to every participant.</w:t>
      </w:r>
    </w:p>
    <w:p>
      <w:pPr>
        <w:keepNext w:val="0"/>
        <w:widowControl/>
        <w:spacing w:line="480" w:lineRule="auto" w:before="0" w:after="0"/>
        <w:ind w:firstLine="720"/>
        <w:jc w:val="left"/>
      </w:pPr>
      <w:r>
        <w:rPr>
          <w:rFonts w:ascii="Times New Roman" w:hAnsi="Times New Roman" w:eastAsia="Times New Roman" w:cs="Times New Roman"/>
          <w:b w:val="0"/>
          <w:i w:val="0"/>
          <w:sz w:val="24"/>
        </w:rPr>
        <w:t>In months 7–9, four or five cooks from each route would be interviewed for roughly 25 minutes. They would be selected to differ sharply, such as the fastest and slowest cooks and the most and least adaptable, so that the interviews can explain differences. The questions would cover the disruption and where each cook picked up the relevant skills. Months 10–12 would be set aside for analysis and writing. Participation would be voluntary with informed consent, and results would be reported without names.</w:t>
      </w:r>
    </w:p>
    <w:p>
      <w:pPr>
        <w:pStyle w:val="Heading2"/>
        <w:keepNext/>
        <w:pageBreakBefore w:val="0"/>
        <w:widowControl/>
        <w:spacing w:line="480" w:lineRule="auto" w:before="0" w:after="0"/>
        <w:jc w:val="left"/>
      </w:pPr>
      <w:r>
        <w:rPr>
          <w:rFonts w:ascii="Times New Roman" w:hAnsi="Times New Roman" w:eastAsia="Times New Roman" w:cs="Times New Roman"/>
          <w:b/>
          <w:sz w:val="24"/>
        </w:rPr>
        <w:t>Analysis</w:t>
      </w:r>
    </w:p>
    <w:p>
      <w:pPr>
        <w:keepNext w:val="0"/>
        <w:widowControl/>
        <w:spacing w:line="480" w:lineRule="auto" w:before="0" w:after="0"/>
        <w:ind w:firstLine="720"/>
        <w:jc w:val="left"/>
      </w:pPr>
      <w:r>
        <w:rPr>
          <w:rFonts w:ascii="Times New Roman" w:hAnsi="Times New Roman" w:eastAsia="Times New Roman" w:cs="Times New Roman"/>
          <w:b w:val="0"/>
          <w:i w:val="0"/>
          <w:sz w:val="24"/>
        </w:rPr>
        <w:t xml:space="preserve">Each outcome (completion time, adaptability score, and written-test score) would be compared between the two main groups using </w:t>
      </w:r>
      <w:r>
        <w:rPr>
          <w:rFonts w:ascii="Times New Roman" w:hAnsi="Times New Roman" w:eastAsia="Times New Roman" w:cs="Times New Roman"/>
          <w:b w:val="0"/>
          <w:i/>
          <w:sz w:val="24"/>
        </w:rPr>
        <w:t>t</w:t>
      </w:r>
      <w:r>
        <w:rPr>
          <w:rFonts w:ascii="Times New Roman" w:hAnsi="Times New Roman" w:eastAsia="Times New Roman" w:cs="Times New Roman"/>
          <w:b w:val="0"/>
          <w:i w:val="0"/>
          <w:sz w:val="24"/>
        </w:rPr>
        <w:t xml:space="preserve"> tests, then reexamined in a regression model that includes the control variables. The interviews would be analyzed for recurring themes, and a joint table pairing every interviewee’s scores with their themes would show which gaps the interviews help explain.</w:t>
      </w:r>
    </w:p>
    <w:p>
      <w:pPr>
        <w:pStyle w:val="Heading1"/>
        <w:keepNext/>
        <w:pageBreakBefore w:val="0"/>
        <w:widowControl/>
        <w:spacing w:line="480" w:lineRule="auto" w:before="0" w:after="0"/>
        <w:jc w:val="center"/>
      </w:pPr>
      <w:r>
        <w:rPr>
          <w:rFonts w:ascii="Times New Roman" w:hAnsi="Times New Roman" w:eastAsia="Times New Roman" w:cs="Times New Roman"/>
          <w:b/>
          <w:sz w:val="24"/>
        </w:rPr>
        <w:t>Discussion of Results</w:t>
      </w:r>
    </w:p>
    <w:p>
      <w:pPr>
        <w:keepNext w:val="0"/>
        <w:widowControl/>
        <w:spacing w:line="480" w:lineRule="auto" w:before="0" w:after="0"/>
        <w:ind w:firstLine="720"/>
        <w:jc w:val="left"/>
      </w:pPr>
      <w:r>
        <w:rPr>
          <w:rFonts w:ascii="Times New Roman" w:hAnsi="Times New Roman" w:eastAsia="Times New Roman" w:cs="Times New Roman"/>
          <w:b w:val="0"/>
          <w:i w:val="0"/>
          <w:sz w:val="24"/>
        </w:rPr>
        <w:t>Serdikoff (2021) describes a typical discussion as a mix of summary, theoretical and practical implications, limitations, and ideas for further research (p. 766). Because my study has not been carried out, the sections below apply that outline to the existing evidence and to the outcomes I can foresee.</w:t>
      </w:r>
    </w:p>
    <w:p>
      <w:pPr>
        <w:pStyle w:val="Heading2"/>
        <w:keepNext/>
        <w:pageBreakBefore w:val="0"/>
        <w:widowControl/>
        <w:spacing w:line="480" w:lineRule="auto" w:before="0" w:after="0"/>
        <w:jc w:val="left"/>
      </w:pPr>
      <w:r>
        <w:rPr>
          <w:rFonts w:ascii="Times New Roman" w:hAnsi="Times New Roman" w:eastAsia="Times New Roman" w:cs="Times New Roman"/>
          <w:b/>
          <w:sz w:val="24"/>
        </w:rPr>
        <w:t>Where the Evidence Stands</w:t>
      </w:r>
    </w:p>
    <w:p>
      <w:pPr>
        <w:keepNext w:val="0"/>
        <w:widowControl/>
        <w:spacing w:line="480" w:lineRule="auto" w:before="0" w:after="0"/>
        <w:ind w:firstLine="720"/>
        <w:jc w:val="left"/>
      </w:pPr>
      <w:r>
        <w:rPr>
          <w:rFonts w:ascii="Times New Roman" w:hAnsi="Times New Roman" w:eastAsia="Times New Roman" w:cs="Times New Roman"/>
          <w:b w:val="0"/>
          <w:i w:val="0"/>
          <w:sz w:val="24"/>
        </w:rPr>
        <w:t>The reviewed studies do not show that either route produces better cooks. Immersion and mentoring shape how skill and standing develop (Frostholm, 2023; Meiser, 2024), the master–apprentice relationship shapes how trainees rate their learning (Tsui &amp; Chen, 2020), and training level did not separate chefs on nutrition knowledge (Hu et al., 2005). Fit between a graduate and a job mattered more to job outcomes than education match (Na et al., 2024). None of this settles which route builds more speed, adaptability, or technical knowledge.</w:t>
      </w:r>
    </w:p>
    <w:p>
      <w:pPr>
        <w:pStyle w:val="Heading2"/>
        <w:keepNext/>
        <w:pageBreakBefore w:val="0"/>
        <w:widowControl/>
        <w:spacing w:line="480" w:lineRule="auto" w:before="0" w:after="0"/>
        <w:jc w:val="left"/>
      </w:pPr>
      <w:r>
        <w:rPr>
          <w:rFonts w:ascii="Times New Roman" w:hAnsi="Times New Roman" w:eastAsia="Times New Roman" w:cs="Times New Roman"/>
          <w:b/>
          <w:sz w:val="24"/>
        </w:rPr>
        <w:t>Possible Findings</w:t>
      </w:r>
    </w:p>
    <w:p>
      <w:pPr>
        <w:keepNext w:val="0"/>
        <w:widowControl/>
        <w:spacing w:line="480" w:lineRule="auto" w:before="0" w:after="0"/>
        <w:ind w:firstLine="720"/>
        <w:jc w:val="left"/>
      </w:pPr>
      <w:r>
        <w:rPr>
          <w:rFonts w:ascii="Times New Roman" w:hAnsi="Times New Roman" w:eastAsia="Times New Roman" w:cs="Times New Roman"/>
          <w:b w:val="0"/>
          <w:i w:val="0"/>
          <w:sz w:val="24"/>
        </w:rPr>
        <w:t>Three results are plausible. The first is the split pattern in my hypothesis, with on-the-job cooks faster and more adaptable and culinary-school graduates stronger on technical knowledge. That would suggest the routes build different strengths, and a cook could choose with that tradeoff in mind. The second is that one route leads on both measures, which would be the clearest evidence for choosing it. The third is no meaningful difference, which would fit Meiser’s (2024) view that workplace fit and kitchen culture count for as much as training route. Interview responses could help choose among these readings by showing, for example, whether fast cooks credit repetition on the line or lessons from a mentor. As Serdikoff (2021) points out, research yields evidence, never proof (p. 182).</w:t>
      </w:r>
    </w:p>
    <w:p>
      <w:pPr>
        <w:pStyle w:val="Heading2"/>
        <w:keepNext/>
        <w:pageBreakBefore w:val="0"/>
        <w:widowControl/>
        <w:spacing w:line="480" w:lineRule="auto" w:before="0" w:after="0"/>
        <w:jc w:val="left"/>
      </w:pPr>
      <w:r>
        <w:rPr>
          <w:rFonts w:ascii="Times New Roman" w:hAnsi="Times New Roman" w:eastAsia="Times New Roman" w:cs="Times New Roman"/>
          <w:b/>
          <w:sz w:val="24"/>
        </w:rPr>
        <w:t>Practical Value and Limits</w:t>
      </w:r>
    </w:p>
    <w:p>
      <w:pPr>
        <w:keepNext w:val="0"/>
        <w:widowControl/>
        <w:spacing w:line="480" w:lineRule="auto" w:before="0" w:after="0"/>
        <w:ind w:firstLine="720"/>
        <w:jc w:val="left"/>
      </w:pPr>
      <w:r>
        <w:rPr>
          <w:rFonts w:ascii="Times New Roman" w:hAnsi="Times New Roman" w:eastAsia="Times New Roman" w:cs="Times New Roman"/>
          <w:b w:val="0"/>
          <w:i w:val="0"/>
          <w:sz w:val="24"/>
        </w:rPr>
        <w:t>If the hypothesis holds, culinary programs could add more timed, high-pressure practice, and employers could give new hires from school more time on the line. If it fails, the findings would still tell aspiring cooks what each route has and has not delivered. These limits deserve attention. Cooks choose their own routes, so any link between route and results is an association, not proof of cause, and motivation, money, and family background may differ in ways the controls miss. A test kitchen is not a busy dinner service, and results from partner sites may not apply to every region or type of restaurant. The mixed group is also likely to be informative but small. Later studies could follow cooks for longer than 12 months, add a random element such as assigning internship placements, or compare specific kinds of programs and kitchens.</w:t>
      </w:r>
    </w:p>
    <w:p>
      <w:pPr>
        <w:pStyle w:val="Heading1"/>
        <w:keepNext/>
        <w:pageBreakBefore w:val="0"/>
        <w:widowControl/>
        <w:spacing w:line="480" w:lineRule="auto" w:before="0" w:after="0"/>
        <w:jc w:val="center"/>
      </w:pPr>
      <w:r>
        <w:rPr>
          <w:rFonts w:ascii="Times New Roman" w:hAnsi="Times New Roman" w:eastAsia="Times New Roman" w:cs="Times New Roman"/>
          <w:b/>
          <w:sz w:val="24"/>
        </w:rPr>
        <w:t>Conclusion</w:t>
      </w:r>
    </w:p>
    <w:p>
      <w:pPr>
        <w:keepNext w:val="0"/>
        <w:widowControl/>
        <w:spacing w:line="480" w:lineRule="auto" w:before="0" w:after="0"/>
        <w:ind w:firstLine="720"/>
        <w:jc w:val="left"/>
      </w:pPr>
      <w:r>
        <w:rPr>
          <w:rFonts w:ascii="Times New Roman" w:hAnsi="Times New Roman" w:eastAsia="Times New Roman" w:cs="Times New Roman"/>
          <w:b w:val="0"/>
          <w:i w:val="0"/>
          <w:sz w:val="24"/>
        </w:rPr>
        <w:t>Choosing between culinary school and the line is one of the first big decisions in a cook’s career, yet the studies reviewed here offer little direct evidence about which route prepares a cook better for the work itself. They describe how skill is absorbed, how trainees feel about their training, and how graduates fit their jobs, but none compares speed, adaptability, and technical knowledge across the two routes. The proposed 12-month study would close that gap with identical timed kitchen tasks, one written test, and follow-up interviews that account for the results. Its three objectives measure practical performance, measure technical knowledge, and compare the groups fairly. Whatever it finds, the answer would let future cooks weigh tuition, time, and skill with evidence from a working kitchen instead of opinion.</w:t>
      </w:r>
    </w:p>
    <w:p>
      <w:pPr>
        <w:pStyle w:val="Heading1"/>
        <w:keepNext/>
        <w:pageBreakBefore w:val="0"/>
        <w:widowControl/>
        <w:spacing w:line="480" w:lineRule="auto" w:before="0" w:after="0"/>
        <w:jc w:val="center"/>
      </w:pPr>
      <w:r>
        <w:rPr>
          <w:rFonts w:ascii="Times New Roman" w:hAnsi="Times New Roman" w:eastAsia="Times New Roman" w:cs="Times New Roman"/>
          <w:b/>
          <w:sz w:val="24"/>
        </w:rPr>
        <w:t>Revision Note</w:t>
      </w:r>
    </w:p>
    <w:p>
      <w:pPr>
        <w:keepNext w:val="0"/>
        <w:widowControl/>
        <w:spacing w:line="480" w:lineRule="auto" w:before="0" w:after="0"/>
        <w:ind w:firstLine="720"/>
        <w:jc w:val="left"/>
      </w:pPr>
      <w:r>
        <w:rPr>
          <w:rFonts w:ascii="Times New Roman" w:hAnsi="Times New Roman" w:eastAsia="Times New Roman" w:cs="Times New Roman"/>
          <w:b w:val="0"/>
          <w:i w:val="0"/>
          <w:sz w:val="24"/>
        </w:rPr>
        <w:t>My editing followed the order that Weaver et al. (2016, Section 2.4) describe: ideas first, wording second. I read every section twice, once to confirm that its sentences belong together and once to check how they connect. Hall and Wallace (2018) caution that contractions read as casual speech (Section 5.1), so I removed the ones from earlier units, and I checked numerals, hyphens, and abbreviations against the errors Serdikoff (2021, p. 738) lists. The instructor’s comments on Units 2, 3, 4, 5, and 7 drove the larger changes. The method now defines each measure, the adaptability rubric, identical task conditions, and how cooks with both a program and work experience are classified. Prior experience and workplace type are controlled, sample size is tied to a power calculation, and the gap discussion names what each study measured. The abstract was trimmed to roughly 200 words, as The Writing Center (n.d.) suggests. Smaller corrections include dropping the Unit 3 page citation for Tsui and Chen (1951 is an article number), linking Frostholm (2023) by its DOI, and rephrasing the thesis in the conclusion (Hall &amp; Wallace, 2018, Section 4.7).</w:t>
      </w:r>
    </w:p>
    <w:p>
      <w:pPr>
        <w:pStyle w:val="Heading1"/>
        <w:keepNext/>
        <w:pageBreakBefore/>
        <w:widowControl/>
        <w:spacing w:line="480" w:lineRule="auto" w:before="0" w:after="0"/>
        <w:jc w:val="center"/>
      </w:pPr>
      <w:r>
        <w:rPr>
          <w:rFonts w:ascii="Times New Roman" w:hAnsi="Times New Roman" w:eastAsia="Times New Roman" w:cs="Times New Roman"/>
          <w:b/>
          <w:sz w:val="24"/>
        </w:rPr>
        <w:t>References</w:t>
      </w:r>
    </w:p>
    <w:p>
      <w:pPr>
        <w:keepNext w:val="0"/>
        <w:widowControl/>
        <w:spacing w:line="480" w:lineRule="auto" w:before="0" w:after="0"/>
        <w:ind w:left="720" w:hanging="720"/>
        <w:jc w:val="left"/>
      </w:pPr>
      <w:r>
        <w:rPr>
          <w:rFonts w:ascii="Times New Roman" w:hAnsi="Times New Roman" w:eastAsia="Times New Roman" w:cs="Times New Roman"/>
          <w:b w:val="0"/>
          <w:i w:val="0"/>
          <w:sz w:val="24"/>
        </w:rPr>
        <w:t xml:space="preserve">CFI Team. (2020, June 16). </w:t>
      </w:r>
      <w:r>
        <w:rPr>
          <w:rFonts w:ascii="Times New Roman" w:hAnsi="Times New Roman" w:eastAsia="Times New Roman" w:cs="Times New Roman"/>
          <w:b w:val="0"/>
          <w:i/>
          <w:sz w:val="24"/>
        </w:rPr>
        <w:t>SMART goals: Definition, examples, &amp; how to write them</w:t>
      </w:r>
      <w:r>
        <w:rPr>
          <w:rFonts w:ascii="Times New Roman" w:hAnsi="Times New Roman" w:eastAsia="Times New Roman" w:cs="Times New Roman"/>
          <w:b w:val="0"/>
          <w:i w:val="0"/>
          <w:sz w:val="24"/>
        </w:rPr>
        <w:t xml:space="preserve">. Corporate Finance Institute. </w:t>
      </w:r>
      <w:hyperlink r:id="rId10" w:history="1">
        <w:r>
          <w:rPr>
            <w:rFonts w:ascii="Times New Roman" w:hAnsi="Times New Roman" w:eastAsia="Times New Roman" w:cs="Times New Roman"/>
            <w:color w:val="0563C1"/>
            <w:sz w:val="24"/>
            <w:szCs w:val="24"/>
            <w:u w:val="single"/>
          </w:rPr>
          <w:t xml:space="preserve">https://corporatefinanceinstitute.com/resources/management/smart-goal/</w:t>
        </w:r>
      </w:hyperlink>
    </w:p>
    <w:p>
      <w:pPr>
        <w:keepNext w:val="0"/>
        <w:widowControl/>
        <w:spacing w:line="480" w:lineRule="auto" w:before="0" w:after="0"/>
        <w:ind w:left="720" w:hanging="720"/>
        <w:jc w:val="left"/>
      </w:pPr>
      <w:r>
        <w:rPr>
          <w:rFonts w:ascii="Times New Roman" w:hAnsi="Times New Roman" w:eastAsia="Times New Roman" w:cs="Times New Roman"/>
          <w:b w:val="0"/>
          <w:i w:val="0"/>
          <w:sz w:val="24"/>
        </w:rPr>
        <w:t xml:space="preserve">Frostholm, P. H. (2023). The practical craftmanship and social practices of apprentice chefs in a professional kitchen setting. </w:t>
      </w:r>
      <w:r>
        <w:rPr>
          <w:rFonts w:ascii="Times New Roman" w:hAnsi="Times New Roman" w:eastAsia="Times New Roman" w:cs="Times New Roman"/>
          <w:b w:val="0"/>
          <w:i/>
          <w:sz w:val="24"/>
        </w:rPr>
        <w:t>Education in the North, 30</w:t>
      </w:r>
      <w:r>
        <w:rPr>
          <w:rFonts w:ascii="Times New Roman" w:hAnsi="Times New Roman" w:eastAsia="Times New Roman" w:cs="Times New Roman"/>
          <w:b w:val="0"/>
          <w:i w:val="0"/>
          <w:sz w:val="24"/>
        </w:rPr>
        <w:t xml:space="preserve">(1), 3–18. </w:t>
      </w:r>
      <w:hyperlink r:id="rId11" w:history="1">
        <w:r>
          <w:rPr>
            <w:rFonts w:ascii="Times New Roman" w:hAnsi="Times New Roman" w:eastAsia="Times New Roman" w:cs="Times New Roman"/>
            <w:color w:val="0563C1"/>
            <w:sz w:val="24"/>
            <w:szCs w:val="24"/>
            <w:u w:val="single"/>
          </w:rPr>
          <w:t xml:space="preserve">https://doi.org/10.26203/b42z-qx61</w:t>
        </w:r>
      </w:hyperlink>
    </w:p>
    <w:p>
      <w:pPr>
        <w:keepNext w:val="0"/>
        <w:widowControl/>
        <w:spacing w:line="480" w:lineRule="auto" w:before="0" w:after="0"/>
        <w:ind w:left="720" w:hanging="720"/>
        <w:jc w:val="left"/>
      </w:pPr>
      <w:r>
        <w:rPr>
          <w:rFonts w:ascii="Times New Roman" w:hAnsi="Times New Roman" w:eastAsia="Times New Roman" w:cs="Times New Roman"/>
          <w:b w:val="0"/>
          <w:i w:val="0"/>
          <w:sz w:val="24"/>
        </w:rPr>
        <w:t xml:space="preserve">George, T. (2025a, January 14). </w:t>
      </w:r>
      <w:r>
        <w:rPr>
          <w:rFonts w:ascii="Times New Roman" w:hAnsi="Times New Roman" w:eastAsia="Times New Roman" w:cs="Times New Roman"/>
          <w:b w:val="0"/>
          <w:i/>
          <w:sz w:val="24"/>
        </w:rPr>
        <w:t>Mixed methods research | Definition, guide &amp; examples</w:t>
      </w:r>
      <w:r>
        <w:rPr>
          <w:rFonts w:ascii="Times New Roman" w:hAnsi="Times New Roman" w:eastAsia="Times New Roman" w:cs="Times New Roman"/>
          <w:b w:val="0"/>
          <w:i w:val="0"/>
          <w:sz w:val="24"/>
        </w:rPr>
        <w:t xml:space="preserve">. Scribbr. </w:t>
      </w:r>
      <w:hyperlink r:id="rId12" w:history="1">
        <w:r>
          <w:rPr>
            <w:rFonts w:ascii="Times New Roman" w:hAnsi="Times New Roman" w:eastAsia="Times New Roman" w:cs="Times New Roman"/>
            <w:color w:val="0563C1"/>
            <w:sz w:val="24"/>
            <w:szCs w:val="24"/>
            <w:u w:val="single"/>
          </w:rPr>
          <w:t xml:space="preserve">https://www.scribbr.com/methodology/mixed-methods-research/</w:t>
        </w:r>
      </w:hyperlink>
    </w:p>
    <w:p>
      <w:pPr>
        <w:keepNext w:val="0"/>
        <w:widowControl/>
        <w:spacing w:line="480" w:lineRule="auto" w:before="0" w:after="0"/>
        <w:ind w:left="720" w:hanging="720"/>
        <w:jc w:val="left"/>
      </w:pPr>
      <w:r>
        <w:rPr>
          <w:rFonts w:ascii="Times New Roman" w:hAnsi="Times New Roman" w:eastAsia="Times New Roman" w:cs="Times New Roman"/>
          <w:b w:val="0"/>
          <w:i w:val="0"/>
          <w:sz w:val="24"/>
        </w:rPr>
        <w:t xml:space="preserve">George, T. (2025b, January 16). </w:t>
      </w:r>
      <w:r>
        <w:rPr>
          <w:rFonts w:ascii="Times New Roman" w:hAnsi="Times New Roman" w:eastAsia="Times New Roman" w:cs="Times New Roman"/>
          <w:b w:val="0"/>
          <w:i/>
          <w:sz w:val="24"/>
        </w:rPr>
        <w:t>What are credible sources &amp; how to spot them | Examples</w:t>
      </w:r>
      <w:r>
        <w:rPr>
          <w:rFonts w:ascii="Times New Roman" w:hAnsi="Times New Roman" w:eastAsia="Times New Roman" w:cs="Times New Roman"/>
          <w:b w:val="0"/>
          <w:i w:val="0"/>
          <w:sz w:val="24"/>
        </w:rPr>
        <w:t xml:space="preserve">. Scribbr. </w:t>
      </w:r>
      <w:hyperlink r:id="rId13" w:history="1">
        <w:r>
          <w:rPr>
            <w:rFonts w:ascii="Times New Roman" w:hAnsi="Times New Roman" w:eastAsia="Times New Roman" w:cs="Times New Roman"/>
            <w:color w:val="0563C1"/>
            <w:sz w:val="24"/>
            <w:szCs w:val="24"/>
            <w:u w:val="single"/>
          </w:rPr>
          <w:t xml:space="preserve">https://www.scribbr.com/working-with-sources/credible-sources/</w:t>
        </w:r>
      </w:hyperlink>
    </w:p>
    <w:p>
      <w:pPr>
        <w:keepNext w:val="0"/>
        <w:widowControl/>
        <w:spacing w:line="480" w:lineRule="auto" w:before="0" w:after="0"/>
        <w:ind w:left="720" w:hanging="720"/>
        <w:jc w:val="left"/>
      </w:pPr>
      <w:r>
        <w:rPr>
          <w:rFonts w:ascii="Times New Roman" w:hAnsi="Times New Roman" w:eastAsia="Times New Roman" w:cs="Times New Roman"/>
          <w:b w:val="0"/>
          <w:i w:val="0"/>
          <w:sz w:val="24"/>
        </w:rPr>
        <w:t xml:space="preserve">Hall, B., &amp; Wallace, E. (2018). </w:t>
      </w:r>
      <w:r>
        <w:rPr>
          <w:rFonts w:ascii="Times New Roman" w:hAnsi="Times New Roman" w:eastAsia="Times New Roman" w:cs="Times New Roman"/>
          <w:b w:val="0"/>
          <w:i/>
          <w:sz w:val="24"/>
        </w:rPr>
        <w:t>College ESL writers: Applied grammar and composing strategies for success</w:t>
      </w:r>
      <w:r>
        <w:rPr>
          <w:rFonts w:ascii="Times New Roman" w:hAnsi="Times New Roman" w:eastAsia="Times New Roman" w:cs="Times New Roman"/>
          <w:b w:val="0"/>
          <w:i w:val="0"/>
          <w:sz w:val="24"/>
        </w:rPr>
        <w:t xml:space="preserve">. GALILEO Open Learning Materials. </w:t>
      </w:r>
      <w:hyperlink r:id="rId14" w:history="1">
        <w:r>
          <w:rPr>
            <w:rFonts w:ascii="Times New Roman" w:hAnsi="Times New Roman" w:eastAsia="Times New Roman" w:cs="Times New Roman"/>
            <w:color w:val="0563C1"/>
            <w:sz w:val="24"/>
            <w:szCs w:val="24"/>
            <w:u w:val="single"/>
          </w:rPr>
          <w:t xml:space="preserve">https://oer.galileo.usg.edu/english-textbooks/14/</w:t>
        </w:r>
      </w:hyperlink>
    </w:p>
    <w:p>
      <w:pPr>
        <w:keepNext w:val="0"/>
        <w:widowControl/>
        <w:spacing w:line="480" w:lineRule="auto" w:before="0" w:after="0"/>
        <w:ind w:left="720" w:hanging="720"/>
        <w:jc w:val="left"/>
      </w:pPr>
      <w:r>
        <w:rPr>
          <w:rFonts w:ascii="Times New Roman" w:hAnsi="Times New Roman" w:eastAsia="Times New Roman" w:cs="Times New Roman"/>
          <w:b w:val="0"/>
          <w:i w:val="0"/>
          <w:sz w:val="24"/>
        </w:rPr>
        <w:t xml:space="preserve">Hu, S.-M., Leong, J. K., Wei, C.-I., &amp; Yeh, J.-M. (2005). The impacts of culinary training on healthful food preparation. </w:t>
      </w:r>
      <w:r>
        <w:rPr>
          <w:rFonts w:ascii="Times New Roman" w:hAnsi="Times New Roman" w:eastAsia="Times New Roman" w:cs="Times New Roman"/>
          <w:b w:val="0"/>
          <w:i/>
          <w:sz w:val="24"/>
        </w:rPr>
        <w:t>Journal of Human Resources in Hospitality &amp; Tourism, 4</w:t>
      </w:r>
      <w:r>
        <w:rPr>
          <w:rFonts w:ascii="Times New Roman" w:hAnsi="Times New Roman" w:eastAsia="Times New Roman" w:cs="Times New Roman"/>
          <w:b w:val="0"/>
          <w:i w:val="0"/>
          <w:sz w:val="24"/>
        </w:rPr>
        <w:t xml:space="preserve">(2), 83–97. </w:t>
      </w:r>
      <w:hyperlink r:id="rId15" w:history="1">
        <w:r>
          <w:rPr>
            <w:rFonts w:ascii="Times New Roman" w:hAnsi="Times New Roman" w:eastAsia="Times New Roman" w:cs="Times New Roman"/>
            <w:color w:val="0563C1"/>
            <w:sz w:val="24"/>
            <w:szCs w:val="24"/>
            <w:u w:val="single"/>
          </w:rPr>
          <w:t xml:space="preserve">https://doi.org/10.1300/J171v04n02_05</w:t>
        </w:r>
      </w:hyperlink>
    </w:p>
    <w:p>
      <w:pPr>
        <w:keepNext w:val="0"/>
        <w:widowControl/>
        <w:spacing w:line="480" w:lineRule="auto" w:before="0" w:after="0"/>
        <w:ind w:left="720" w:hanging="720"/>
        <w:jc w:val="left"/>
      </w:pPr>
      <w:r>
        <w:rPr>
          <w:rFonts w:ascii="Times New Roman" w:hAnsi="Times New Roman" w:eastAsia="Times New Roman" w:cs="Times New Roman"/>
          <w:b w:val="0"/>
          <w:i w:val="0"/>
          <w:sz w:val="24"/>
        </w:rPr>
        <w:t xml:space="preserve">Meiser, E. T. (2024). </w:t>
      </w:r>
      <w:r>
        <w:rPr>
          <w:rFonts w:ascii="Times New Roman" w:hAnsi="Times New Roman" w:eastAsia="Times New Roman" w:cs="Times New Roman"/>
          <w:b w:val="0"/>
          <w:i/>
          <w:sz w:val="24"/>
        </w:rPr>
        <w:t>Making it: Success in the commercial kitchen</w:t>
      </w:r>
      <w:r>
        <w:rPr>
          <w:rFonts w:ascii="Times New Roman" w:hAnsi="Times New Roman" w:eastAsia="Times New Roman" w:cs="Times New Roman"/>
          <w:b w:val="0"/>
          <w:i w:val="0"/>
          <w:sz w:val="24"/>
        </w:rPr>
        <w:t xml:space="preserve">. Rutgers University Press. </w:t>
      </w:r>
      <w:hyperlink r:id="rId16" w:history="1">
        <w:r>
          <w:rPr>
            <w:rFonts w:ascii="Times New Roman" w:hAnsi="Times New Roman" w:eastAsia="Times New Roman" w:cs="Times New Roman"/>
            <w:color w:val="0563C1"/>
            <w:sz w:val="24"/>
            <w:szCs w:val="24"/>
            <w:u w:val="single"/>
          </w:rPr>
          <w:t xml:space="preserve">https://www.rutgersuniversitypress.org/making-it/9781978840140</w:t>
        </w:r>
      </w:hyperlink>
    </w:p>
    <w:p>
      <w:pPr>
        <w:keepNext w:val="0"/>
        <w:widowControl/>
        <w:spacing w:line="480" w:lineRule="auto" w:before="0" w:after="0"/>
        <w:ind w:left="720" w:hanging="720"/>
        <w:jc w:val="left"/>
      </w:pPr>
      <w:r>
        <w:rPr>
          <w:rFonts w:ascii="Times New Roman" w:hAnsi="Times New Roman" w:eastAsia="Times New Roman" w:cs="Times New Roman"/>
          <w:b w:val="0"/>
          <w:i w:val="0"/>
          <w:sz w:val="24"/>
        </w:rPr>
        <w:t xml:space="preserve">Na, T.-K., Jung, I.-Y., &amp; Han, S. (2024). The effect of major, education, and skill match on job satisfaction and turnover intention among culinary arts graduates. </w:t>
      </w:r>
      <w:r>
        <w:rPr>
          <w:rFonts w:ascii="Times New Roman" w:hAnsi="Times New Roman" w:eastAsia="Times New Roman" w:cs="Times New Roman"/>
          <w:b w:val="0"/>
          <w:i/>
          <w:sz w:val="24"/>
        </w:rPr>
        <w:t>Tourism and Hospitality, 5</w:t>
      </w:r>
      <w:r>
        <w:rPr>
          <w:rFonts w:ascii="Times New Roman" w:hAnsi="Times New Roman" w:eastAsia="Times New Roman" w:cs="Times New Roman"/>
          <w:b w:val="0"/>
          <w:i w:val="0"/>
          <w:sz w:val="24"/>
        </w:rPr>
        <w:t xml:space="preserve">(4), 874–886. </w:t>
      </w:r>
      <w:hyperlink r:id="rId17" w:history="1">
        <w:r>
          <w:rPr>
            <w:rFonts w:ascii="Times New Roman" w:hAnsi="Times New Roman" w:eastAsia="Times New Roman" w:cs="Times New Roman"/>
            <w:color w:val="0563C1"/>
            <w:sz w:val="24"/>
            <w:szCs w:val="24"/>
            <w:u w:val="single"/>
          </w:rPr>
          <w:t xml:space="preserve">https://doi.org/10.3390/tourhosp5040050</w:t>
        </w:r>
      </w:hyperlink>
    </w:p>
    <w:p>
      <w:pPr>
        <w:keepNext w:val="0"/>
        <w:widowControl/>
        <w:spacing w:line="480" w:lineRule="auto" w:before="0" w:after="0"/>
        <w:ind w:left="720" w:hanging="720"/>
        <w:jc w:val="left"/>
      </w:pPr>
      <w:r>
        <w:rPr>
          <w:rFonts w:ascii="Times New Roman" w:hAnsi="Times New Roman" w:eastAsia="Times New Roman" w:cs="Times New Roman"/>
          <w:b w:val="0"/>
          <w:i w:val="0"/>
          <w:sz w:val="24"/>
        </w:rPr>
        <w:t xml:space="preserve">National University. (n.d.-a). </w:t>
      </w:r>
      <w:r>
        <w:rPr>
          <w:rFonts w:ascii="Times New Roman" w:hAnsi="Times New Roman" w:eastAsia="Times New Roman" w:cs="Times New Roman"/>
          <w:b w:val="0"/>
          <w:i/>
          <w:sz w:val="24"/>
        </w:rPr>
        <w:t>Problem statement</w:t>
      </w:r>
      <w:r>
        <w:rPr>
          <w:rFonts w:ascii="Times New Roman" w:hAnsi="Times New Roman" w:eastAsia="Times New Roman" w:cs="Times New Roman"/>
          <w:b w:val="0"/>
          <w:i w:val="0"/>
          <w:sz w:val="24"/>
        </w:rPr>
        <w:t xml:space="preserve">. Research Writing and Analysis. Retrieved October 28, 2026, from </w:t>
      </w:r>
      <w:hyperlink r:id="rId18" w:history="1">
        <w:r>
          <w:rPr>
            <w:rFonts w:ascii="Times New Roman" w:hAnsi="Times New Roman" w:eastAsia="Times New Roman" w:cs="Times New Roman"/>
            <w:color w:val="0563C1"/>
            <w:sz w:val="24"/>
            <w:szCs w:val="24"/>
            <w:u w:val="single"/>
          </w:rPr>
          <w:t xml:space="preserve">https://resources.nu.edu/researchtools/Problem</w:t>
        </w:r>
      </w:hyperlink>
    </w:p>
    <w:p>
      <w:pPr>
        <w:keepNext w:val="0"/>
        <w:widowControl/>
        <w:spacing w:line="480" w:lineRule="auto" w:before="0" w:after="0"/>
        <w:ind w:left="720" w:hanging="720"/>
        <w:jc w:val="left"/>
      </w:pPr>
      <w:r>
        <w:rPr>
          <w:rFonts w:ascii="Times New Roman" w:hAnsi="Times New Roman" w:eastAsia="Times New Roman" w:cs="Times New Roman"/>
          <w:b w:val="0"/>
          <w:i w:val="0"/>
          <w:sz w:val="24"/>
        </w:rPr>
        <w:t xml:space="preserve">National University. (n.d.-b). </w:t>
      </w:r>
      <w:r>
        <w:rPr>
          <w:rFonts w:ascii="Times New Roman" w:hAnsi="Times New Roman" w:eastAsia="Times New Roman" w:cs="Times New Roman"/>
          <w:b w:val="0"/>
          <w:i/>
          <w:sz w:val="24"/>
        </w:rPr>
        <w:t>Sampling methods</w:t>
      </w:r>
      <w:r>
        <w:rPr>
          <w:rFonts w:ascii="Times New Roman" w:hAnsi="Times New Roman" w:eastAsia="Times New Roman" w:cs="Times New Roman"/>
          <w:b w:val="0"/>
          <w:i w:val="0"/>
          <w:sz w:val="24"/>
        </w:rPr>
        <w:t xml:space="preserve">. Research Writing and Analysis. Retrieved October 28, 2026, from </w:t>
      </w:r>
      <w:hyperlink r:id="rId19" w:history="1">
        <w:r>
          <w:rPr>
            <w:rFonts w:ascii="Times New Roman" w:hAnsi="Times New Roman" w:eastAsia="Times New Roman" w:cs="Times New Roman"/>
            <w:color w:val="0563C1"/>
            <w:sz w:val="24"/>
            <w:szCs w:val="24"/>
            <w:u w:val="single"/>
          </w:rPr>
          <w:t xml:space="preserve">https://resources.nu.edu/researchtools/samplingmethods</w:t>
        </w:r>
      </w:hyperlink>
    </w:p>
    <w:p>
      <w:pPr>
        <w:keepNext w:val="0"/>
        <w:widowControl/>
        <w:spacing w:line="480" w:lineRule="auto" w:before="0" w:after="0"/>
        <w:ind w:left="720" w:hanging="720"/>
        <w:jc w:val="left"/>
      </w:pPr>
      <w:r>
        <w:rPr>
          <w:rFonts w:ascii="Times New Roman" w:hAnsi="Times New Roman" w:eastAsia="Times New Roman" w:cs="Times New Roman"/>
          <w:b w:val="0"/>
          <w:i w:val="0"/>
          <w:sz w:val="24"/>
        </w:rPr>
        <w:t xml:space="preserve">Ryan, E. (2023, November 20). </w:t>
      </w:r>
      <w:r>
        <w:rPr>
          <w:rFonts w:ascii="Times New Roman" w:hAnsi="Times New Roman" w:eastAsia="Times New Roman" w:cs="Times New Roman"/>
          <w:b w:val="0"/>
          <w:i/>
          <w:sz w:val="24"/>
        </w:rPr>
        <w:t>Research objectives | Definition &amp; examples</w:t>
      </w:r>
      <w:r>
        <w:rPr>
          <w:rFonts w:ascii="Times New Roman" w:hAnsi="Times New Roman" w:eastAsia="Times New Roman" w:cs="Times New Roman"/>
          <w:b w:val="0"/>
          <w:i w:val="0"/>
          <w:sz w:val="24"/>
        </w:rPr>
        <w:t xml:space="preserve">. Scribbr. </w:t>
      </w:r>
      <w:hyperlink r:id="rId20" w:history="1">
        <w:r>
          <w:rPr>
            <w:rFonts w:ascii="Times New Roman" w:hAnsi="Times New Roman" w:eastAsia="Times New Roman" w:cs="Times New Roman"/>
            <w:color w:val="0563C1"/>
            <w:sz w:val="24"/>
            <w:szCs w:val="24"/>
            <w:u w:val="single"/>
          </w:rPr>
          <w:t xml:space="preserve">https://www.scribbr.com/research-process/research-objectives/</w:t>
        </w:r>
      </w:hyperlink>
    </w:p>
    <w:p>
      <w:pPr>
        <w:keepNext w:val="0"/>
        <w:widowControl/>
        <w:spacing w:line="480" w:lineRule="auto" w:before="0" w:after="0"/>
        <w:ind w:left="720" w:hanging="720"/>
        <w:jc w:val="left"/>
      </w:pPr>
      <w:r>
        <w:rPr>
          <w:rFonts w:ascii="Times New Roman" w:hAnsi="Times New Roman" w:eastAsia="Times New Roman" w:cs="Times New Roman"/>
          <w:b w:val="0"/>
          <w:i w:val="0"/>
          <w:sz w:val="24"/>
        </w:rPr>
        <w:t xml:space="preserve">Serdikoff, S. L. (2021). </w:t>
      </w:r>
      <w:r>
        <w:rPr>
          <w:rFonts w:ascii="Times New Roman" w:hAnsi="Times New Roman" w:eastAsia="Times New Roman" w:cs="Times New Roman"/>
          <w:b w:val="0"/>
          <w:i/>
          <w:sz w:val="24"/>
        </w:rPr>
        <w:t>Research methods for the behavioral sciences</w:t>
      </w:r>
      <w:r>
        <w:rPr>
          <w:rFonts w:ascii="Times New Roman" w:hAnsi="Times New Roman" w:eastAsia="Times New Roman" w:cs="Times New Roman"/>
          <w:b w:val="0"/>
          <w:i w:val="0"/>
          <w:sz w:val="24"/>
        </w:rPr>
        <w:t xml:space="preserve"> (5th ed.). GALILEO Open Learning Materials. </w:t>
      </w:r>
      <w:hyperlink r:id="rId21" w:history="1">
        <w:r>
          <w:rPr>
            <w:rFonts w:ascii="Times New Roman" w:hAnsi="Times New Roman" w:eastAsia="Times New Roman" w:cs="Times New Roman"/>
            <w:color w:val="0563C1"/>
            <w:sz w:val="24"/>
            <w:szCs w:val="24"/>
            <w:u w:val="single"/>
          </w:rPr>
          <w:t xml:space="preserve">https://oer.galileo.usg.edu/psychology-textbooks/12/</w:t>
        </w:r>
      </w:hyperlink>
    </w:p>
    <w:p>
      <w:pPr>
        <w:keepNext w:val="0"/>
        <w:widowControl/>
        <w:spacing w:line="480" w:lineRule="auto" w:before="0" w:after="0"/>
        <w:ind w:left="720" w:hanging="720"/>
        <w:jc w:val="left"/>
      </w:pPr>
      <w:r>
        <w:rPr>
          <w:rFonts w:ascii="Times New Roman" w:hAnsi="Times New Roman" w:eastAsia="Times New Roman" w:cs="Times New Roman"/>
          <w:b w:val="0"/>
          <w:i w:val="0"/>
          <w:sz w:val="24"/>
        </w:rPr>
        <w:t xml:space="preserve">Tsui, P.-L., &amp; Chen, Y.-C. (2020). Sustainable development of hotel food and beverage service training: Learning satisfaction with the situated cognitive apprenticeship approach. </w:t>
      </w:r>
      <w:r>
        <w:rPr>
          <w:rFonts w:ascii="Times New Roman" w:hAnsi="Times New Roman" w:eastAsia="Times New Roman" w:cs="Times New Roman"/>
          <w:b w:val="0"/>
          <w:i/>
          <w:sz w:val="24"/>
        </w:rPr>
        <w:t>Sustainability, 12</w:t>
      </w:r>
      <w:r>
        <w:rPr>
          <w:rFonts w:ascii="Times New Roman" w:hAnsi="Times New Roman" w:eastAsia="Times New Roman" w:cs="Times New Roman"/>
          <w:b w:val="0"/>
          <w:i w:val="0"/>
          <w:sz w:val="24"/>
        </w:rPr>
        <w:t xml:space="preserve">(5), Article 1951. </w:t>
      </w:r>
      <w:hyperlink r:id="rId22" w:history="1">
        <w:r>
          <w:rPr>
            <w:rFonts w:ascii="Times New Roman" w:hAnsi="Times New Roman" w:eastAsia="Times New Roman" w:cs="Times New Roman"/>
            <w:color w:val="0563C1"/>
            <w:sz w:val="24"/>
            <w:szCs w:val="24"/>
            <w:u w:val="single"/>
          </w:rPr>
          <w:t xml:space="preserve">https://doi.org/10.3390/su12051951</w:t>
        </w:r>
      </w:hyperlink>
    </w:p>
    <w:p>
      <w:pPr>
        <w:keepNext w:val="0"/>
        <w:widowControl/>
        <w:spacing w:line="480" w:lineRule="auto" w:before="0" w:after="0"/>
        <w:ind w:left="720" w:hanging="720"/>
        <w:jc w:val="left"/>
      </w:pPr>
      <w:r>
        <w:rPr>
          <w:rFonts w:ascii="Times New Roman" w:hAnsi="Times New Roman" w:eastAsia="Times New Roman" w:cs="Times New Roman"/>
          <w:b w:val="0"/>
          <w:i w:val="0"/>
          <w:sz w:val="24"/>
        </w:rPr>
        <w:t xml:space="preserve">U.S. Bureau of Labor Statistics. (n.d.). </w:t>
      </w:r>
      <w:r>
        <w:rPr>
          <w:rFonts w:ascii="Times New Roman" w:hAnsi="Times New Roman" w:eastAsia="Times New Roman" w:cs="Times New Roman"/>
          <w:b w:val="0"/>
          <w:i/>
          <w:sz w:val="24"/>
        </w:rPr>
        <w:t>Chefs and head cooks</w:t>
      </w:r>
      <w:r>
        <w:rPr>
          <w:rFonts w:ascii="Times New Roman" w:hAnsi="Times New Roman" w:eastAsia="Times New Roman" w:cs="Times New Roman"/>
          <w:b w:val="0"/>
          <w:i w:val="0"/>
          <w:sz w:val="24"/>
        </w:rPr>
        <w:t xml:space="preserve">. In </w:t>
      </w:r>
      <w:r>
        <w:rPr>
          <w:rFonts w:ascii="Times New Roman" w:hAnsi="Times New Roman" w:eastAsia="Times New Roman" w:cs="Times New Roman"/>
          <w:b w:val="0"/>
          <w:i/>
          <w:sz w:val="24"/>
        </w:rPr>
        <w:t>Occupational outlook handbook</w:t>
      </w:r>
      <w:r>
        <w:rPr>
          <w:rFonts w:ascii="Times New Roman" w:hAnsi="Times New Roman" w:eastAsia="Times New Roman" w:cs="Times New Roman"/>
          <w:b w:val="0"/>
          <w:i w:val="0"/>
          <w:sz w:val="24"/>
        </w:rPr>
        <w:t xml:space="preserve">. Retrieved October 28, 2026, from </w:t>
      </w:r>
      <w:hyperlink r:id="rId23" w:history="1">
        <w:r>
          <w:rPr>
            <w:rFonts w:ascii="Times New Roman" w:hAnsi="Times New Roman" w:eastAsia="Times New Roman" w:cs="Times New Roman"/>
            <w:color w:val="0563C1"/>
            <w:sz w:val="24"/>
            <w:szCs w:val="24"/>
            <w:u w:val="single"/>
          </w:rPr>
          <w:t xml:space="preserve">https://www.bls.gov/ooh/food-preparation-and-serving/chefs-and-head-cooks.htm</w:t>
        </w:r>
      </w:hyperlink>
    </w:p>
    <w:p>
      <w:pPr>
        <w:keepNext w:val="0"/>
        <w:widowControl/>
        <w:spacing w:line="480" w:lineRule="auto" w:before="0" w:after="0"/>
        <w:ind w:left="720" w:hanging="720"/>
        <w:jc w:val="left"/>
      </w:pPr>
      <w:r>
        <w:rPr>
          <w:rFonts w:ascii="Times New Roman" w:hAnsi="Times New Roman" w:eastAsia="Times New Roman" w:cs="Times New Roman"/>
          <w:b w:val="0"/>
          <w:i w:val="0"/>
          <w:sz w:val="24"/>
        </w:rPr>
        <w:t xml:space="preserve">Weaver, R., Bost, L., Kassorla, M., McKinney-Holley, K., Crowther, K., Curtright, L., Gilbert, N., Hall, B., Ravita, T., &amp; Swenson, K. (2016). </w:t>
      </w:r>
      <w:r>
        <w:rPr>
          <w:rFonts w:ascii="Times New Roman" w:hAnsi="Times New Roman" w:eastAsia="Times New Roman" w:cs="Times New Roman"/>
          <w:b w:val="0"/>
          <w:i/>
          <w:sz w:val="24"/>
        </w:rPr>
        <w:t>Successful college composition</w:t>
      </w:r>
      <w:r>
        <w:rPr>
          <w:rFonts w:ascii="Times New Roman" w:hAnsi="Times New Roman" w:eastAsia="Times New Roman" w:cs="Times New Roman"/>
          <w:b w:val="0"/>
          <w:i w:val="0"/>
          <w:sz w:val="24"/>
        </w:rPr>
        <w:t xml:space="preserve"> (3rd ed.). GALILEO Open Learning Materials. </w:t>
      </w:r>
      <w:hyperlink r:id="rId24" w:history="1">
        <w:r>
          <w:rPr>
            <w:rFonts w:ascii="Times New Roman" w:hAnsi="Times New Roman" w:eastAsia="Times New Roman" w:cs="Times New Roman"/>
            <w:color w:val="0563C1"/>
            <w:sz w:val="24"/>
            <w:szCs w:val="24"/>
            <w:u w:val="single"/>
          </w:rPr>
          <w:t xml:space="preserve">https://oer.galileo.usg.edu/english-textbooks/8/</w:t>
        </w:r>
      </w:hyperlink>
    </w:p>
    <w:p>
      <w:pPr>
        <w:keepNext w:val="0"/>
        <w:widowControl/>
        <w:spacing w:line="480" w:lineRule="auto" w:before="0" w:after="0"/>
        <w:ind w:left="720" w:hanging="720"/>
        <w:jc w:val="left"/>
      </w:pPr>
      <w:r>
        <w:rPr>
          <w:rFonts w:ascii="Times New Roman" w:hAnsi="Times New Roman" w:eastAsia="Times New Roman" w:cs="Times New Roman"/>
          <w:b w:val="0"/>
          <w:i w:val="0"/>
          <w:sz w:val="24"/>
        </w:rPr>
        <w:t xml:space="preserve">The Writing Center. (n.d.). </w:t>
      </w:r>
      <w:r>
        <w:rPr>
          <w:rFonts w:ascii="Times New Roman" w:hAnsi="Times New Roman" w:eastAsia="Times New Roman" w:cs="Times New Roman"/>
          <w:b w:val="0"/>
          <w:i/>
          <w:sz w:val="24"/>
        </w:rPr>
        <w:t>Writing an abstract for your research paper</w:t>
      </w:r>
      <w:r>
        <w:rPr>
          <w:rFonts w:ascii="Times New Roman" w:hAnsi="Times New Roman" w:eastAsia="Times New Roman" w:cs="Times New Roman"/>
          <w:b w:val="0"/>
          <w:i w:val="0"/>
          <w:sz w:val="24"/>
        </w:rPr>
        <w:t xml:space="preserve">. University of Wisconsin–Madison. Retrieved October 28, 2026, from </w:t>
      </w:r>
      <w:hyperlink r:id="rId25" w:history="1">
        <w:r>
          <w:rPr>
            <w:rFonts w:ascii="Times New Roman" w:hAnsi="Times New Roman" w:eastAsia="Times New Roman" w:cs="Times New Roman"/>
            <w:color w:val="0563C1"/>
            <w:sz w:val="24"/>
            <w:szCs w:val="24"/>
            <w:u w:val="single"/>
          </w:rPr>
          <w:t xml:space="preserve">https://writing.wisc.edu/handbook/academicwriting/writing-an-abstract-for-your-research-paper/</w:t>
        </w:r>
      </w:hyperlink>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w:t>
    </w:r>
    <w:r>
      <w:rPr>
        <w:rFonts w:ascii="Times New Roman" w:hAnsi="Times New Roman" w:eastAsia="Times New Roman" w:cs="Times New Roman"/>
        <w:sz w:val="24"/>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jc w:val="center"/>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corporatefinanceinstitute.com/resources/management/smart-goal/" TargetMode="External"/><Relationship Id="rId11" Type="http://schemas.openxmlformats.org/officeDocument/2006/relationships/hyperlink" Target="https://doi.org/10.26203/b42z-qx61" TargetMode="External"/><Relationship Id="rId12" Type="http://schemas.openxmlformats.org/officeDocument/2006/relationships/hyperlink" Target="https://www.scribbr.com/methodology/mixed-methods-research/" TargetMode="External"/><Relationship Id="rId13" Type="http://schemas.openxmlformats.org/officeDocument/2006/relationships/hyperlink" Target="https://www.scribbr.com/working-with-sources/credible-sources/" TargetMode="External"/><Relationship Id="rId14" Type="http://schemas.openxmlformats.org/officeDocument/2006/relationships/hyperlink" Target="https://oer.galileo.usg.edu/english-textbooks/14/" TargetMode="External"/><Relationship Id="rId15" Type="http://schemas.openxmlformats.org/officeDocument/2006/relationships/hyperlink" Target="https://doi.org/10.1300/J171v04n02_05" TargetMode="External"/><Relationship Id="rId16" Type="http://schemas.openxmlformats.org/officeDocument/2006/relationships/hyperlink" Target="https://www.rutgersuniversitypress.org/making-it/9781978840140" TargetMode="External"/><Relationship Id="rId17" Type="http://schemas.openxmlformats.org/officeDocument/2006/relationships/hyperlink" Target="https://doi.org/10.3390/tourhosp5040050" TargetMode="External"/><Relationship Id="rId18" Type="http://schemas.openxmlformats.org/officeDocument/2006/relationships/hyperlink" Target="https://resources.nu.edu/researchtools/Problem" TargetMode="External"/><Relationship Id="rId19" Type="http://schemas.openxmlformats.org/officeDocument/2006/relationships/hyperlink" Target="https://resources.nu.edu/researchtools/samplingmethods" TargetMode="External"/><Relationship Id="rId20" Type="http://schemas.openxmlformats.org/officeDocument/2006/relationships/hyperlink" Target="https://www.scribbr.com/research-process/research-objectives/" TargetMode="External"/><Relationship Id="rId21" Type="http://schemas.openxmlformats.org/officeDocument/2006/relationships/hyperlink" Target="https://oer.galileo.usg.edu/psychology-textbooks/12/" TargetMode="External"/><Relationship Id="rId22" Type="http://schemas.openxmlformats.org/officeDocument/2006/relationships/hyperlink" Target="https://doi.org/10.3390/su12051951" TargetMode="External"/><Relationship Id="rId23" Type="http://schemas.openxmlformats.org/officeDocument/2006/relationships/hyperlink" Target="https://www.bls.gov/ooh/food-preparation-and-serving/chefs-and-head-cooks.htm" TargetMode="External"/><Relationship Id="rId24" Type="http://schemas.openxmlformats.org/officeDocument/2006/relationships/hyperlink" Target="https://oer.galileo.usg.edu/english-textbooks/8/" TargetMode="External"/><Relationship Id="rId25" Type="http://schemas.openxmlformats.org/officeDocument/2006/relationships/hyperlink" Target="https://writing.wisc.edu/handbook/academicwriting/writing-an-abstract-for-your-research-pap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16</Pages>
  <Words>3670</Words>
  <Characters>17950</Characters>
  <Application>Microsoft Office Word</Application>
  <DocSecurity>0</DocSecurity>
  <Lines>333</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Culinary School Versus On-the-Job Training: A Proposed Study of Cook Preparation</dc:title>
  <dc:subject/>
  <dc:creator>Saira Binte Shahriar</dc:creator>
  <cp:keywords/>
  <dc:description/>
  <cp:lastModifiedBy>Saira Binte Shahriar</cp:lastModifiedBy>
  <cp:revision>3</cp:revision>
  <dcterms:created xsi:type="dcterms:W3CDTF">2026-10-28T21:07:36Z</dcterms:created>
  <dcterms:modified xsi:type="dcterms:W3CDTF">2026-10-28T21:07:36Z</dcterms:modified>
  <cp:category/>
</cp:coreProperties>
</file>