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eastAsia="Times New Roman" w:cs="Times New Roman"/>
          <w:b/>
          <w:i w:val="0"/>
          <w:sz w:val="24"/>
        </w:rPr>
        <w:t>A Weekday Time Budget: What a Pie Chart Shows About Full-Time University Students</w:t>
      </w:r>
    </w:p>
    <w:p>
      <w:pPr>
        <w:jc w:val="center"/>
      </w:pPr>
      <w:r>
        <w:rPr>
          <w:rFonts w:ascii="Times New Roman" w:hAnsi="Times New Roman" w:eastAsia="Times New Roman" w:cs="Times New Roman"/>
          <w:b w:val="0"/>
          <w:i w:val="0"/>
          <w:sz w:val="24"/>
        </w:rPr>
        <w:t>Saira Binte Shahriar</w:t>
      </w:r>
    </w:p>
    <w:p>
      <w:pPr>
        <w:jc w:val="center"/>
      </w:pPr>
      <w:r>
        <w:rPr>
          <w:rFonts w:ascii="Times New Roman" w:hAnsi="Times New Roman" w:eastAsia="Times New Roman" w:cs="Times New Roman"/>
          <w:b w:val="0"/>
          <w:i w:val="0"/>
          <w:sz w:val="24"/>
        </w:rPr>
        <w:t>University of the People</w:t>
      </w:r>
    </w:p>
    <w:p>
      <w:pPr>
        <w:jc w:val="center"/>
      </w:pPr>
      <w:r>
        <w:rPr>
          <w:rFonts w:ascii="Times New Roman" w:hAnsi="Times New Roman" w:eastAsia="Times New Roman" w:cs="Times New Roman"/>
          <w:b w:val="0"/>
          <w:i w:val="0"/>
          <w:sz w:val="24"/>
        </w:rPr>
        <w:t>ENGL 1102-01: English Composition 2</w:t>
      </w:r>
    </w:p>
    <w:p>
      <w:pPr>
        <w:jc w:val="center"/>
      </w:pPr>
      <w:r>
        <w:rPr>
          <w:rFonts w:ascii="Times New Roman" w:hAnsi="Times New Roman" w:eastAsia="Times New Roman" w:cs="Times New Roman"/>
          <w:b w:val="0"/>
          <w:i w:val="0"/>
          <w:sz w:val="24"/>
        </w:rPr>
        <w:t>Aparna Rajith</w:t>
      </w:r>
    </w:p>
    <w:p>
      <w:pPr>
        <w:jc w:val="center"/>
      </w:pPr>
      <w:r>
        <w:rPr>
          <w:rFonts w:ascii="Times New Roman" w:hAnsi="Times New Roman" w:eastAsia="Times New Roman" w:cs="Times New Roman"/>
          <w:b w:val="0"/>
          <w:i w:val="0"/>
          <w:sz w:val="24"/>
        </w:rPr>
        <w:t>October 14, 2026</w:t>
      </w:r>
    </w:p>
    <w:p>
      <w:pPr>
        <w:pageBreakBefore/>
        <w:jc w:val="center"/>
      </w:pPr>
      <w:r>
        <w:rPr>
          <w:rFonts w:ascii="Times New Roman" w:hAnsi="Times New Roman" w:eastAsia="Times New Roman" w:cs="Times New Roman"/>
          <w:b/>
          <w:i w:val="0"/>
          <w:sz w:val="24"/>
        </w:rPr>
        <w:t>A Weekday Time Budget: What a Pie Chart Shows About Full-Time University Students</w:t>
      </w:r>
    </w:p>
    <w:p>
      <w:pPr>
        <w:jc w:val="center"/>
      </w:pPr>
      <w:r>
        <w:rPr>
          <w:rFonts w:ascii="Times New Roman" w:hAnsi="Times New Roman" w:eastAsia="Times New Roman" w:cs="Times New Roman"/>
          <w:b/>
          <w:i w:val="0"/>
          <w:sz w:val="24"/>
        </w:rPr>
        <w:t>Introduction</w:t>
      </w:r>
    </w:p>
    <w:p>
      <w:pPr>
        <w:ind w:firstLine="720"/>
      </w:pPr>
      <w:r>
        <w:rPr>
          <w:rFonts w:ascii="Times New Roman" w:hAnsi="Times New Roman" w:eastAsia="Times New Roman" w:cs="Times New Roman"/>
          <w:b w:val="0"/>
          <w:i w:val="0"/>
          <w:sz w:val="24"/>
        </w:rPr>
        <w:t>Numbers about time are easier to grasp as proportions, which is exactly what a pie chart provides. Serdikoff (2021) explains that researchers often use visual displays to help them characterize their data (p. 173), and the chart examined here serves that purpose for an average weekday of 24.0 hours. Published by the U.S. Bureau of Labor Statistics (BLS, 2018), it describes full-time university and college students and draws on the American Time Use Survey, which measures how much time people spend on activities such as paid work, childcare, volunteering, and socializing (BLS, n.d.). A title names the subject, each slice has a label, the total is printed, and a note credits the source. Each slice is drawn to match its share of the day, so bigger pieces stand for more time. The note adds that the sample covers ages 15 to 49 and averages non-holiday weekdays across 2011–15.</w:t>
      </w:r>
    </w:p>
    <w:p>
      <w:pPr>
        <w:jc w:val="center"/>
      </w:pPr>
      <w:r>
        <w:rPr>
          <w:rFonts w:ascii="Times New Roman" w:hAnsi="Times New Roman" w:eastAsia="Times New Roman" w:cs="Times New Roman"/>
          <w:b/>
          <w:i w:val="0"/>
          <w:sz w:val="24"/>
        </w:rPr>
        <w:t>What the Chart Shows</w:t>
      </w:r>
    </w:p>
    <w:p>
      <w:pPr>
        <w:ind w:firstLine="720"/>
      </w:pPr>
      <w:r>
        <w:rPr>
          <w:rFonts w:ascii="Times New Roman" w:hAnsi="Times New Roman" w:eastAsia="Times New Roman" w:cs="Times New Roman"/>
          <w:b w:val="0"/>
          <w:i w:val="0"/>
          <w:sz w:val="24"/>
        </w:rPr>
        <w:t>The eight slices fall into a few broader groups, which keeps the numbers readable. Basic daily needs take the most time: sleeping (36.7%, or 8.8 hours), eating and drinking (4.2%, or 1.0 hour), and grooming (3.3%, or 0.8 hour) total 10.6 hours, which is 44.2% of the day. Education (3.5 hours, 14.6%) and work (2.3 hours, 9.6%) come next, followed by leisure and sports (16.7%, or 4.0 hours), traveling (5.8%, or 1.4 hours), and a general “Other” slice (9.2%, or 2.2 hours). Sleeping is the largest single slice and grooming the smallest. The groupings and percentages were calculated for this report, since the chart itself shows hours only.</w:t>
      </w:r>
    </w:p>
    <w:p>
      <w:pPr>
        <w:jc w:val="center"/>
      </w:pPr>
      <w:r>
        <w:rPr>
          <w:rFonts w:ascii="Times New Roman" w:hAnsi="Times New Roman" w:eastAsia="Times New Roman" w:cs="Times New Roman"/>
          <w:b/>
          <w:i w:val="0"/>
          <w:sz w:val="24"/>
        </w:rPr>
        <w:t>What It Means</w:t>
      </w:r>
    </w:p>
    <w:p>
      <w:pPr>
        <w:ind w:firstLine="720"/>
      </w:pPr>
      <w:r>
        <w:rPr>
          <w:rFonts w:ascii="Times New Roman" w:hAnsi="Times New Roman" w:eastAsia="Times New Roman" w:cs="Times New Roman"/>
          <w:b w:val="0"/>
          <w:i w:val="0"/>
          <w:sz w:val="24"/>
        </w:rPr>
        <w:t>Sleep is the clearest result. At 8.8 hours it takes more than a third of the day, and it outweighs education and work combined (5.8 hours) by three hours. Taken separately, education falls behind leisure, 3.5 hours against 4.0. Taken as commitments, though, education, work, and traveling, which may include trips to class or a job, come to 7.2 hours, roughly 30% of the day and about 1.8 times the time given to leisure and sports. A smaller detail is easy to miss: traveling at 1.4 hours takes more of the weekday than eating and drinking at 1.0 hour, so students spend more time in transit than at meals.</w:t>
      </w:r>
    </w:p>
    <w:p>
      <w:pPr>
        <w:jc w:val="center"/>
      </w:pPr>
      <w:r>
        <w:rPr>
          <w:rFonts w:ascii="Times New Roman" w:hAnsi="Times New Roman" w:eastAsia="Times New Roman" w:cs="Times New Roman"/>
          <w:b/>
          <w:i w:val="0"/>
          <w:sz w:val="24"/>
        </w:rPr>
        <w:t>Limits of the Data</w:t>
      </w:r>
    </w:p>
    <w:p>
      <w:pPr>
        <w:ind w:firstLine="720"/>
      </w:pPr>
      <w:r>
        <w:rPr>
          <w:rFonts w:ascii="Times New Roman" w:hAnsi="Times New Roman" w:eastAsia="Times New Roman" w:cs="Times New Roman"/>
          <w:b w:val="0"/>
          <w:i w:val="0"/>
          <w:sz w:val="24"/>
        </w:rPr>
        <w:t>Serdikoff (2021) also points out that statistics are probabilistic and every study has flaws, so research offers scientific evidence rather than proof (p. 182). That caution applies here. Every figure is an average, and the chart prints neither a sample size nor any measure of spread, so a reader can’t tell how closely individual students follow the pattern. The data also stop at 2015, which means they are over a decade old and reflect that period more than today. A government statistics agency makes the source dependable, but dependable doesn’t mean current. The weekday focus matters too, because weekends could look very different. Boise State’s College of Business and Economics (2024) advises writers of executive summaries to explain technical data in simple, everyday terms, and the groupings used here follow that advice. Even so, the chart is best treated as a well-sourced snapshot rather than a final answer.</w:t>
      </w:r>
    </w:p>
    <w:p>
      <w:pPr>
        <w:jc w:val="center"/>
      </w:pPr>
      <w:r>
        <w:rPr>
          <w:rFonts w:ascii="Times New Roman" w:hAnsi="Times New Roman" w:eastAsia="Times New Roman" w:cs="Times New Roman"/>
          <w:b/>
          <w:i w:val="0"/>
          <w:sz w:val="24"/>
        </w:rPr>
        <w:t>Suggested Action</w:t>
      </w:r>
    </w:p>
    <w:p>
      <w:pPr>
        <w:ind w:firstLine="720"/>
      </w:pPr>
      <w:r>
        <w:rPr>
          <w:rFonts w:ascii="Times New Roman" w:hAnsi="Times New Roman" w:eastAsia="Times New Roman" w:cs="Times New Roman"/>
          <w:b w:val="0"/>
          <w:i w:val="0"/>
          <w:sz w:val="24"/>
        </w:rPr>
        <w:t>Universities should share time-use data like this chart during orientation. The figures show that an average full-time student already commits about 30% of the weekday to education, work, and travel. Students who add more commitments will have to give up hours somewhere else, and seeing that tradeoff in advance helps them plan realistically.</w:t>
      </w:r>
    </w:p>
    <w:p>
      <w:pPr>
        <w:pageBreakBefore/>
        <w:jc w:val="center"/>
      </w:pPr>
      <w:r>
        <w:rPr>
          <w:rFonts w:ascii="Times New Roman" w:hAnsi="Times New Roman" w:eastAsia="Times New Roman" w:cs="Times New Roman"/>
          <w:b/>
          <w:i w:val="0"/>
          <w:sz w:val="24"/>
        </w:rPr>
        <w:t>References</w:t>
      </w:r>
    </w:p>
    <w:p>
      <w:pPr>
        <w:ind w:left="720" w:hanging="720"/>
      </w:pPr>
      <w:r>
        <w:rPr>
          <w:rFonts w:ascii="Times New Roman" w:hAnsi="Times New Roman" w:eastAsia="Times New Roman" w:cs="Times New Roman"/>
          <w:b w:val="0"/>
          <w:i w:val="0"/>
          <w:sz w:val="24"/>
        </w:rPr>
        <w:t xml:space="preserve">College of Business and Economics. (2024, November 1). </w:t>
      </w:r>
      <w:r>
        <w:rPr>
          <w:rFonts w:ascii="Times New Roman" w:hAnsi="Times New Roman" w:eastAsia="Times New Roman" w:cs="Times New Roman"/>
          <w:b w:val="0"/>
          <w:i/>
          <w:sz w:val="24"/>
        </w:rPr>
        <w:t>Guidelines for reports</w:t>
      </w:r>
      <w:r>
        <w:rPr>
          <w:rFonts w:ascii="Times New Roman" w:hAnsi="Times New Roman" w:eastAsia="Times New Roman" w:cs="Times New Roman"/>
          <w:b w:val="0"/>
          <w:i w:val="0"/>
          <w:sz w:val="24"/>
        </w:rPr>
        <w:t xml:space="preserve">. Boise State University. </w:t>
      </w:r>
      <w:hyperlink r:id="rId10" w:history="1">
        <w:r>
          <w:rPr>
            <w:rFonts w:ascii="Times New Roman" w:hAnsi="Times New Roman" w:eastAsia="Times New Roman" w:cs="Times New Roman"/>
            <w:sz w:val="24"/>
            <w:color w:val="0563C1"/>
            <w:u w:val="single"/>
          </w:rPr>
          <w:t>https://www.boisestate.edu/cobe/cobe-writing-style-guide/guidelines-for-reports/</w:t>
        </w:r>
      </w:hyperlink>
    </w:p>
    <w:p>
      <w:pPr>
        <w:ind w:left="720" w:hanging="720"/>
      </w:pPr>
      <w:r>
        <w:rPr>
          <w:rFonts w:ascii="Times New Roman" w:hAnsi="Times New Roman" w:eastAsia="Times New Roman" w:cs="Times New Roman"/>
          <w:b w:val="0"/>
          <w:i w:val="0"/>
          <w:sz w:val="24"/>
        </w:rPr>
        <w:t xml:space="preserve">Serdikoff, S. L. (2021). </w:t>
      </w:r>
      <w:r>
        <w:rPr>
          <w:rFonts w:ascii="Times New Roman" w:hAnsi="Times New Roman" w:eastAsia="Times New Roman" w:cs="Times New Roman"/>
          <w:b w:val="0"/>
          <w:i/>
          <w:sz w:val="24"/>
        </w:rPr>
        <w:t>Research methods for the behavioral sciences</w:t>
      </w:r>
      <w:r>
        <w:rPr>
          <w:rFonts w:ascii="Times New Roman" w:hAnsi="Times New Roman" w:eastAsia="Times New Roman" w:cs="Times New Roman"/>
          <w:b w:val="0"/>
          <w:i w:val="0"/>
          <w:sz w:val="24"/>
        </w:rPr>
        <w:t xml:space="preserve"> (5th ed.). GALILEO Open Learning Materials. </w:t>
      </w:r>
      <w:hyperlink r:id="rId11" w:history="1">
        <w:r>
          <w:rPr>
            <w:rFonts w:ascii="Times New Roman" w:hAnsi="Times New Roman" w:eastAsia="Times New Roman" w:cs="Times New Roman"/>
            <w:sz w:val="24"/>
            <w:color w:val="0563C1"/>
            <w:u w:val="single"/>
          </w:rPr>
          <w:t>https://oer.galileo.usg.edu/psychology-textbooks/12/</w:t>
        </w:r>
      </w:hyperlink>
    </w:p>
    <w:p>
      <w:pPr>
        <w:ind w:left="720" w:hanging="720"/>
      </w:pPr>
      <w:r>
        <w:rPr>
          <w:rFonts w:ascii="Times New Roman" w:hAnsi="Times New Roman" w:eastAsia="Times New Roman" w:cs="Times New Roman"/>
          <w:b w:val="0"/>
          <w:i w:val="0"/>
          <w:sz w:val="24"/>
        </w:rPr>
        <w:t xml:space="preserve">U.S. Bureau of Labor Statistics. (n.d.). </w:t>
      </w:r>
      <w:r>
        <w:rPr>
          <w:rFonts w:ascii="Times New Roman" w:hAnsi="Times New Roman" w:eastAsia="Times New Roman" w:cs="Times New Roman"/>
          <w:b w:val="0"/>
          <w:i/>
          <w:sz w:val="24"/>
        </w:rPr>
        <w:t>American Time Use Survey home</w:t>
      </w:r>
      <w:r>
        <w:rPr>
          <w:rFonts w:ascii="Times New Roman" w:hAnsi="Times New Roman" w:eastAsia="Times New Roman" w:cs="Times New Roman"/>
          <w:b w:val="0"/>
          <w:i w:val="0"/>
          <w:sz w:val="24"/>
        </w:rPr>
        <w:t xml:space="preserve">. Retrieved October 14, 2026, from </w:t>
      </w:r>
      <w:hyperlink r:id="rId12" w:history="1">
        <w:r>
          <w:rPr>
            <w:rFonts w:ascii="Times New Roman" w:hAnsi="Times New Roman" w:eastAsia="Times New Roman" w:cs="Times New Roman"/>
            <w:sz w:val="24"/>
            <w:color w:val="0563C1"/>
            <w:u w:val="single"/>
          </w:rPr>
          <w:t>https://www.bls.gov/tus/home.htm</w:t>
        </w:r>
      </w:hyperlink>
    </w:p>
    <w:p>
      <w:pPr>
        <w:ind w:left="720" w:hanging="720"/>
      </w:pPr>
      <w:r>
        <w:rPr>
          <w:rFonts w:ascii="Times New Roman" w:hAnsi="Times New Roman" w:eastAsia="Times New Roman" w:cs="Times New Roman"/>
          <w:b w:val="0"/>
          <w:i w:val="0"/>
          <w:sz w:val="24"/>
        </w:rPr>
        <w:t xml:space="preserve">U.S. Bureau of Labor Statistics. (2018, June 22). </w:t>
      </w:r>
      <w:r>
        <w:rPr>
          <w:rFonts w:ascii="Times New Roman" w:hAnsi="Times New Roman" w:eastAsia="Times New Roman" w:cs="Times New Roman"/>
          <w:b w:val="0"/>
          <w:i/>
          <w:sz w:val="24"/>
        </w:rPr>
        <w:t>How do you spend your time?: Analyzing a pie chart</w:t>
      </w:r>
      <w:r>
        <w:rPr>
          <w:rFonts w:ascii="Times New Roman" w:hAnsi="Times New Roman" w:eastAsia="Times New Roman" w:cs="Times New Roman"/>
          <w:b w:val="0"/>
          <w:i w:val="0"/>
          <w:sz w:val="24"/>
        </w:rPr>
        <w:t xml:space="preserve">. </w:t>
      </w:r>
      <w:hyperlink r:id="rId13" w:history="1">
        <w:r>
          <w:rPr>
            <w:rFonts w:ascii="Times New Roman" w:hAnsi="Times New Roman" w:eastAsia="Times New Roman" w:cs="Times New Roman"/>
            <w:sz w:val="24"/>
            <w:color w:val="0563C1"/>
            <w:u w:val="single"/>
          </w:rPr>
          <w:t>https://www.bls.gov/k12/teachers/activities/how-do-you-spend-your-time-analyzing-chart.htm</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cs="Times New Roman"/>
        <w:b w:val="0"/>
        <w:i w:val="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boisestate.edu/cobe/cobe-writing-style-guide/guidelines-for-reports/" TargetMode="External"/><Relationship Id="rId11" Type="http://schemas.openxmlformats.org/officeDocument/2006/relationships/hyperlink" Target="https://oer.galileo.usg.edu/psychology-textbooks/12/" TargetMode="External"/><Relationship Id="rId12" Type="http://schemas.openxmlformats.org/officeDocument/2006/relationships/hyperlink" Target="https://www.bls.gov/tus/home.htm" TargetMode="External"/><Relationship Id="rId13" Type="http://schemas.openxmlformats.org/officeDocument/2006/relationships/hyperlink" Target="https://www.bls.gov/k12/teachers/activities/how-do-you-spend-your-time-analyzing-char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692</Words>
  <Characters>3767</Characters>
  <Application>Microsoft Office Word</Application>
  <DocSecurity>0</DocSecurity>
  <Lines>62</Lines>
  <Paragraphs>30</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1</cp:revision>
  <dcterms:created xsi:type="dcterms:W3CDTF">2026-10-14T17:54:17Z</dcterms:created>
  <dcterms:modified xsi:type="dcterms:W3CDTF">2026-10-14T18:46:17Z</dcterms:modified>
  <cp:category/>
</cp:coreProperties>
</file>