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Tesla’s Assets, Depreciation, and Liabilities</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BUS 1102-01: Basic Accounting, AY2027-T1</w:t>
      </w:r>
    </w:p>
    <w:p>
      <w:pPr>
        <w:jc w:val="center"/>
      </w:pPr>
      <w:r>
        <w:rPr>
          <w:b w:val="0"/>
          <w:i w:val="0"/>
        </w:rPr>
        <w:t>Richmond Agyarkoh</w:t>
      </w:r>
    </w:p>
    <w:p>
      <w:pPr>
        <w:jc w:val="center"/>
      </w:pPr>
      <w:r>
        <w:rPr>
          <w:b w:val="0"/>
          <w:i w:val="0"/>
        </w:rPr>
        <w:t>October 14, 2026</w:t>
      </w:r>
      <w:r>
        <w:br w:type="page"/>
      </w:r>
    </w:p>
    <w:p>
      <w:pPr>
        <w:jc w:val="center"/>
      </w:pPr>
      <w:r>
        <w:rPr>
          <w:b/>
          <w:i w:val="0"/>
        </w:rPr>
        <w:t>Tesla’s Assets, Depreciation, and Liabilities</w:t>
      </w:r>
    </w:p>
    <w:p>
      <w:pPr>
        <w:keepNext/>
        <w:jc w:val="center"/>
      </w:pPr>
      <w:r>
        <w:rPr>
          <w:b/>
          <w:i w:val="0"/>
        </w:rPr>
        <w:t>Understated Depreciation</w:t>
      </w:r>
    </w:p>
    <w:p>
      <w:pPr>
        <w:ind w:firstLine="720"/>
      </w:pPr>
      <w:r>
        <w:rPr>
          <w:b w:val="0"/>
          <w:i w:val="0"/>
        </w:rPr>
        <w:t>A missed depreciation charge on a new Gigafactory would ripple through every statement. Depreciation is an operating expense, so leaving it out overstates net income, and with accumulated depreciation too small, the plant’s book value is overstated too. Tesla’s 2025 depreciation expense was $5.03 billion (Tesla, Inc., 2026), so small percentage errors matter. Tax depreciation follows tax rules, not GAAP lives (Franklin et al., 2022, Section 11.3), so a book-only error mainly changes what Tesla reports, not what it pays. If the same schedule feeds the return, Tesla would overpay. The bigger cost is trust. The SEC disciplined Waste Management for fraudulently reducing depreciation expense and overstating net income by $1.7 billion (Franklin et al., 2022, Section 11.3), and even an honest error would likely force a restatement.</w:t>
      </w:r>
    </w:p>
    <w:p>
      <w:pPr>
        <w:keepNext/>
        <w:jc w:val="center"/>
      </w:pPr>
      <w:r>
        <w:rPr>
          <w:b/>
          <w:i w:val="0"/>
        </w:rPr>
        <w:t>Depreciation Method</w:t>
      </w:r>
    </w:p>
    <w:p>
      <w:pPr>
        <w:ind w:firstLine="720"/>
      </w:pPr>
      <w:r>
        <w:rPr>
          <w:b w:val="0"/>
          <w:i w:val="0"/>
        </w:rPr>
        <w:t>Tesla generally uses straight-line depreciation (Tesla, Inc., 2026). On the $150,000 equipment in question 4, that means $30,000 a year, while double-declining-balance would charge 40% of cost, or $60,000, in year one (Franklin et al., 2022, Section 11.3). Year-one pre-tax income would be $30,000 lower and year-end book value $90,000 instead of $120,000. Later years reverse this, since total depreciation is identical (Franklin et al., 2022, Section 11.3). Straight-line gives steadier earnings for assets used evenly, whereas declining balance front-loads expense. As a noncash expense, depreciation is added back on the cash flow statement (Franklin et al., 2022, Section 16.3), so the method alone doesn’t change operating cash. It matters only through taxes: if a method also lowered taxable income, Tesla would pay less tax sooner.</w:t>
      </w:r>
    </w:p>
    <w:p>
      <w:pPr>
        <w:keepNext/>
        <w:jc w:val="center"/>
      </w:pPr>
      <w:r>
        <w:rPr>
          <w:b/>
          <w:i w:val="0"/>
        </w:rPr>
        <w:t>Effective AIS</w:t>
      </w:r>
    </w:p>
    <w:p>
      <w:pPr>
        <w:ind w:firstLine="720"/>
      </w:pPr>
      <w:r>
        <w:rPr>
          <w:b w:val="0"/>
          <w:i w:val="0"/>
        </w:rPr>
        <w:t>An effective AIS keeps long-term assets and current liabilities on schedule. It stores each asset’s cost, useful life, and depreciation method (Franklin et al., 2022, Section 11.3), then posts depreciation automatically. Tesla reports $8.79 billion of construction in progress, depreciated only once an asset is ready for its intended use (Tesla, Inc., 2026). An AIS that flags that handover helps prevent the question 1 error. For liabilities, the AIS can separate the portion of debt due within a year (Franklin et al., 2022, Section 12.1); Tesla’s current portion of debt and finance leases was $1.64 billion (Tesla, Inc., 2026). It can also support estimates such as warranties, recorded when a loss is probable and estimable (Franklin et al., 2022, Section 12.3), like Tesla’s roughly $2.5 billion current warranty reserve (Tesla, Inc., 2026). Spanish small and medium-sized firms using AIS for bank and fiscal management earned a significantly higher return on assets than firms using neither (Urquía Grande et al., 2011). That shows association, not cause, in far smaller firms.</w:t>
      </w:r>
    </w:p>
    <w:p>
      <w:pPr>
        <w:keepNext/>
        <w:jc w:val="center"/>
      </w:pPr>
      <w:r>
        <w:rPr>
          <w:b/>
          <w:i w:val="0"/>
        </w:rPr>
        <w:t>Journal Entry</w:t>
      </w:r>
    </w:p>
    <w:p>
      <w:pPr>
        <w:keepNext/>
        <w:ind w:firstLine="720"/>
      </w:pPr>
      <w:r>
        <w:rPr>
          <w:b w:val="0"/>
          <w:i w:val="0"/>
        </w:rPr>
        <w:t>Straight-line depreciation is $150,000 ÷ 5 years = $30,000 a year, with no salvage value.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F2F2F2"/>
          </w:tcPr>
          <w:p>
            <w:pPr>
              <w:spacing w:line="240" w:lineRule="auto" w:before="40" w:after="40"/>
            </w:pPr>
            <w:r>
              <w:rPr>
                <w:b/>
              </w:rPr>
              <w:t>Date</w:t>
            </w:r>
          </w:p>
        </w:tc>
        <w:tc>
          <w:tcPr>
            <w:tcW w:type="dxa" w:w="5184"/>
            <w:shd w:val="clear" w:color="auto" w:fill="F2F2F2"/>
          </w:tcPr>
          <w:p>
            <w:pPr>
              <w:spacing w:line="240" w:lineRule="auto" w:before="40" w:after="40"/>
            </w:pPr>
            <w:r>
              <w:rPr>
                <w:b/>
              </w:rPr>
              <w:t>Account</w:t>
            </w:r>
          </w:p>
        </w:tc>
        <w:tc>
          <w:tcPr>
            <w:tcW w:type="dxa" w:w="1440"/>
            <w:shd w:val="clear" w:color="auto" w:fill="F2F2F2"/>
          </w:tcPr>
          <w:p>
            <w:pPr>
              <w:spacing w:line="240" w:lineRule="auto" w:before="40" w:after="40"/>
              <w:jc w:val="right"/>
            </w:pPr>
            <w:r>
              <w:rPr>
                <w:b/>
              </w:rPr>
              <w:t>Debit</w:t>
            </w:r>
          </w:p>
        </w:tc>
        <w:tc>
          <w:tcPr>
            <w:tcW w:type="dxa" w:w="1440"/>
            <w:shd w:val="clear" w:color="auto" w:fill="F2F2F2"/>
          </w:tcPr>
          <w:p>
            <w:pPr>
              <w:spacing w:line="240" w:lineRule="auto" w:before="40" w:after="40"/>
              <w:jc w:val="right"/>
            </w:pPr>
            <w:r>
              <w:rPr>
                <w:b/>
              </w:rPr>
              <w:t>Credit</w:t>
            </w:r>
          </w:p>
        </w:tc>
      </w:tr>
      <w:tr>
        <w:tc>
          <w:tcPr>
            <w:tcW w:type="dxa" w:w="1296"/>
          </w:tcPr>
          <w:p>
            <w:pPr>
              <w:spacing w:line="240" w:lineRule="auto" w:before="40" w:after="40"/>
            </w:pPr>
            <w:r>
              <w:t>Dec. 31</w:t>
            </w:r>
          </w:p>
        </w:tc>
        <w:tc>
          <w:tcPr>
            <w:tcW w:type="dxa" w:w="5184"/>
          </w:tcPr>
          <w:p>
            <w:pPr>
              <w:spacing w:line="240" w:lineRule="auto" w:before="40" w:after="40"/>
            </w:pPr>
            <w:r>
              <w:t>Depreciation Expense</w:t>
            </w:r>
          </w:p>
        </w:tc>
        <w:tc>
          <w:tcPr>
            <w:tcW w:type="dxa" w:w="1440"/>
          </w:tcPr>
          <w:p>
            <w:pPr>
              <w:spacing w:line="240" w:lineRule="auto" w:before="40" w:after="40"/>
              <w:jc w:val="right"/>
            </w:pPr>
            <w:r>
              <w:t>30,000</w:t>
            </w:r>
          </w:p>
        </w:tc>
        <w:tc>
          <w:tcPr>
            <w:tcW w:type="dxa" w:w="1440"/>
          </w:tcPr>
          <w:p>
            <w:pPr>
              <w:spacing w:line="240" w:lineRule="auto" w:before="40" w:after="40"/>
              <w:jc w:val="right"/>
            </w:pPr>
            <w:r/>
          </w:p>
        </w:tc>
      </w:tr>
      <w:tr>
        <w:tc>
          <w:tcPr>
            <w:tcW w:type="dxa" w:w="1296"/>
          </w:tcPr>
          <w:p>
            <w:pPr>
              <w:spacing w:line="240" w:lineRule="auto" w:before="40" w:after="40"/>
            </w:pPr>
            <w:r/>
          </w:p>
        </w:tc>
        <w:tc>
          <w:tcPr>
            <w:tcW w:type="dxa" w:w="5184"/>
          </w:tcPr>
          <w:p>
            <w:pPr>
              <w:spacing w:line="240" w:lineRule="auto" w:before="40" w:after="40"/>
              <w:ind w:left="432"/>
            </w:pPr>
            <w:r>
              <w:t>Accumulated Depreciation—Equipment</w:t>
            </w:r>
          </w:p>
        </w:tc>
        <w:tc>
          <w:tcPr>
            <w:tcW w:type="dxa" w:w="1440"/>
          </w:tcPr>
          <w:p>
            <w:pPr>
              <w:spacing w:line="240" w:lineRule="auto" w:before="40" w:after="40"/>
              <w:jc w:val="right"/>
            </w:pPr>
            <w:r/>
          </w:p>
        </w:tc>
        <w:tc>
          <w:tcPr>
            <w:tcW w:type="dxa" w:w="1440"/>
          </w:tcPr>
          <w:p>
            <w:pPr>
              <w:spacing w:line="240" w:lineRule="auto" w:before="40" w:after="40"/>
              <w:jc w:val="right"/>
            </w:pPr>
            <w:r>
              <w:t>30,000</w:t>
            </w:r>
          </w:p>
        </w:tc>
      </w:tr>
      <w:tr>
        <w:tc>
          <w:tcPr>
            <w:tcW w:type="dxa" w:w="1296"/>
          </w:tcPr>
          <w:p>
            <w:pPr>
              <w:spacing w:line="240" w:lineRule="auto" w:before="40" w:after="40"/>
            </w:pPr>
            <w:r/>
          </w:p>
        </w:tc>
        <w:tc>
          <w:tcPr>
            <w:tcW w:type="dxa" w:w="5184"/>
          </w:tcPr>
          <w:p>
            <w:pPr>
              <w:spacing w:line="240" w:lineRule="auto" w:before="40" w:after="40"/>
              <w:ind w:left="864"/>
            </w:pPr>
            <w:r>
              <w:rPr>
                <w:i/>
              </w:rPr>
              <w:t>(To record year-one straight-line depreciation)</w:t>
            </w:r>
          </w:p>
        </w:tc>
        <w:tc>
          <w:tcPr>
            <w:tcW w:type="dxa" w:w="1440"/>
          </w:tcPr>
          <w:p>
            <w:pPr>
              <w:spacing w:line="240" w:lineRule="auto" w:before="40" w:after="40"/>
              <w:jc w:val="right"/>
            </w:pPr>
            <w:r/>
          </w:p>
        </w:tc>
        <w:tc>
          <w:tcPr>
            <w:tcW w:type="dxa" w:w="1440"/>
          </w:tcPr>
          <w:p>
            <w:pPr>
              <w:spacing w:line="240" w:lineRule="auto" w:before="40" w:after="40"/>
              <w:jc w:val="right"/>
            </w:pPr>
            <w:r/>
          </w:p>
        </w:tc>
      </w:tr>
    </w:tbl>
    <w:p>
      <w:pPr>
        <w:spacing w:line="240" w:lineRule="auto"/>
      </w:pPr>
      <w:r>
        <w:br w:type="page"/>
      </w:r>
    </w:p>
    <w:p>
      <w:pPr>
        <w:jc w:val="center"/>
      </w:pPr>
      <w:r>
        <w:rPr>
          <w:b/>
          <w:i w:val="0"/>
        </w:rPr>
        <w:t>References</w:t>
      </w:r>
    </w:p>
    <w:p>
      <w:pPr>
        <w:ind w:left="720" w:hanging="720"/>
      </w:pPr>
      <w:r>
        <w:rPr>
          <w:i w:val="0"/>
        </w:rP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rPr>
          <w:i w:val="0"/>
        </w:rPr>
        <w:t xml:space="preserve">. OpenStax. Licensed under CC 4.0. </w:t>
      </w:r>
      <w:hyperlink r:id="rId10" w:history="1">
        <w:r>
          <w:rPr>
            <w:color w:val="0563C1"/>
            <w:u w:val="single"/>
          </w:rPr>
          <w:t>https://openstax.org/details/books/principles-financial-accounting</w:t>
        </w:r>
      </w:hyperlink>
    </w:p>
    <w:p>
      <w:pPr>
        <w:ind w:left="720" w:hanging="720"/>
      </w:pPr>
      <w:r>
        <w:rPr>
          <w:i w:val="0"/>
        </w:rPr>
        <w:t xml:space="preserve">Tesla, Inc. (2026, January 29). </w:t>
      </w:r>
      <w:r>
        <w:rPr>
          <w:i/>
        </w:rPr>
        <w:t>Annual report on Form 10-K for the fiscal year ended December 31, 2025</w:t>
      </w:r>
      <w:r>
        <w:rPr>
          <w:i w:val="0"/>
        </w:rPr>
        <w:t xml:space="preserve">. U.S. Securities and Exchange Commission. </w:t>
      </w:r>
      <w:hyperlink r:id="rId11" w:history="1">
        <w:r>
          <w:rPr>
            <w:color w:val="0563C1"/>
            <w:u w:val="single"/>
          </w:rPr>
          <w:t>https://www.sec.gov/Archives/edgar/data/1318605/000162828026003952/tsla-20251231.htm</w:t>
        </w:r>
      </w:hyperlink>
    </w:p>
    <w:p>
      <w:pPr>
        <w:ind w:left="720" w:hanging="720"/>
      </w:pPr>
      <w:r>
        <w:rPr>
          <w:i w:val="0"/>
        </w:rPr>
        <w:t xml:space="preserve">Urquía Grande, E., Pérez Estébanez, R., &amp; Muñoz Colomina, C. (2011). The impact of accounting information systems (AIS) on performance measures: Empirical evidence in Spanish SMEs. </w:t>
      </w:r>
      <w:r>
        <w:rPr>
          <w:i/>
        </w:rPr>
        <w:t>The International Journal of Digital Accounting Research, 11</w:t>
      </w:r>
      <w:r>
        <w:rPr>
          <w:i w:val="0"/>
        </w:rPr>
        <w:t xml:space="preserve">, 25–43. </w:t>
      </w:r>
      <w:hyperlink r:id="rId12" w:history="1">
        <w:r>
          <w:rPr>
            <w:color w:val="0563C1"/>
            <w:u w:val="single"/>
          </w:rPr>
          <w:t>https://doi.org/10.4192/1577-8517-v11_2</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openstax.org/details/books/principles-financial-accounting" TargetMode="External"/><Relationship Id="rId11" Type="http://schemas.openxmlformats.org/officeDocument/2006/relationships/hyperlink" Target="https://www.sec.gov/Archives/edgar/data/1318605/000162828026003952/tsla-20251231.htm" TargetMode="External"/><Relationship Id="rId12" Type="http://schemas.openxmlformats.org/officeDocument/2006/relationships/hyperlink" Target="https://doi.org/10.4192/1577-8517-v11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607</Words>
  <Characters>3637</Characters>
  <Application>Microsoft Macintosh Word</Application>
  <DocSecurity>0</DocSecurity>
  <Lines>69</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2026-10-15T03:35:00Z</dcterms:created>
  <dcterms:modified xsi:type="dcterms:W3CDTF">2026-10-15T03:35:00Z</dcterms:modified>
  <cp:category/>
</cp:coreProperties>
</file>