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rPr>
        <w:t>Amazon’s Cash Flows and Long-Term Liabilities, 2023</w:t>
      </w:r>
    </w:p>
    <w:p>
      <w:pPr>
        <w:jc w:val="center"/>
      </w:pPr>
    </w:p>
    <w:p>
      <w:pPr>
        <w:jc w:val="center"/>
      </w:pPr>
      <w:r>
        <w:rPr>
          <w:b w:val="0"/>
          <w:i w:val="0"/>
        </w:rPr>
        <w:t>Saira Binte Shahriar</w:t>
      </w:r>
    </w:p>
    <w:p>
      <w:pPr>
        <w:jc w:val="center"/>
      </w:pPr>
      <w:r>
        <w:rPr>
          <w:b w:val="0"/>
          <w:i w:val="0"/>
        </w:rPr>
        <w:t>University of the People</w:t>
      </w:r>
    </w:p>
    <w:p>
      <w:pPr>
        <w:jc w:val="center"/>
      </w:pPr>
      <w:r>
        <w:rPr>
          <w:b w:val="0"/>
          <w:i w:val="0"/>
        </w:rPr>
        <w:t>BUS 1102-01: Basic Accounting, AY2027-T1</w:t>
      </w:r>
    </w:p>
    <w:p>
      <w:pPr>
        <w:jc w:val="center"/>
      </w:pPr>
      <w:r>
        <w:rPr>
          <w:b w:val="0"/>
          <w:i w:val="0"/>
        </w:rPr>
        <w:t>Richmond Agyarkoh</w:t>
      </w:r>
    </w:p>
    <w:p>
      <w:pPr>
        <w:jc w:val="center"/>
      </w:pPr>
      <w:r>
        <w:rPr>
          <w:b w:val="0"/>
          <w:i w:val="0"/>
        </w:rPr>
        <w:t>October 21, 2026</w:t>
      </w:r>
      <w:r>
        <w:br w:type="page"/>
      </w:r>
    </w:p>
    <w:p>
      <w:pPr>
        <w:jc w:val="center"/>
      </w:pPr>
      <w:r>
        <w:rPr>
          <w:b/>
          <w:i w:val="0"/>
        </w:rPr>
        <w:t>Amazon’s Cash Flows and Long-Term Liabilities, 2023</w:t>
      </w:r>
    </w:p>
    <w:p>
      <w:pPr>
        <w:keepNext/>
        <w:jc w:val="center"/>
      </w:pPr>
      <w:r>
        <w:rPr>
          <w:b/>
          <w:i w:val="0"/>
        </w:rPr>
        <w:t>Ticker and Long-Term Debt</w:t>
      </w:r>
    </w:p>
    <w:p>
      <w:pPr>
        <w:ind w:firstLine="720"/>
      </w:pPr>
      <w:r>
        <w:rPr>
          <w:b w:val="0"/>
          <w:i w:val="0"/>
        </w:rPr>
        <w:t>Amazon trades on the Nasdaq as AMZN. Its 2023 long-term debt was $58,314 million (Amazon.com, Inc., 2024; Franklin et al., 2022, Section 13.1): $66.5 billion of unsecured senior notes (bonds payable) plus a $682 million secured credit facility (a loan), less $374 million of discount and $8,494 million due within a year.</w:t>
      </w:r>
    </w:p>
    <w:p>
      <w:pPr>
        <w:keepNext/>
        <w:jc w:val="center"/>
      </w:pPr>
      <w:r>
        <w:rPr>
          <w:b/>
          <w:i w:val="0"/>
        </w:rPr>
        <w:t>Statement of Cash Flows</w:t>
      </w:r>
    </w:p>
    <w:p>
      <w:pPr>
        <w:ind w:firstLine="720"/>
      </w:pPr>
      <w:r>
        <w:rPr>
          <w:b w:val="0"/>
          <w:i w:val="0"/>
        </w:rPr>
        <w:t>Amazon reports indirectly, so Table 1 estimates customer receipts as sales less the receivables increase plus the unearned-revenue increase, and inventory payments as cost of sales adjusted for inventory and payables (Franklin et al., 2022, Section 16.6). Interest, taxes, and rent come from the 10-K; other payments balance the total.</w:t>
      </w:r>
    </w:p>
    <w:p>
      <w:pPr>
        <w:keepNext/>
      </w:pPr>
      <w:r>
        <w:rPr>
          <w:b/>
          <w:i w:val="0"/>
        </w:rPr>
        <w:t>Table 1</w:t>
      </w:r>
    </w:p>
    <w:p>
      <w:pPr>
        <w:keepNext/>
      </w:pPr>
      <w:r>
        <w:rPr>
          <w:b w:val="0"/>
          <w:i/>
        </w:rPr>
        <w:t>Amazon Statement of Cash Flows, Direct Method, 2023 (in millions)</w:t>
      </w:r>
    </w:p>
    <w:tbl>
      <w:tblPr>
        <w:tblStyle w:val="TableGrid"/>
        <w:tblW w:type="auto" w:w="0"/>
        <w:jc w:val="center"/>
        <w:tblLook w:firstColumn="1" w:firstRow="1" w:lastColumn="0" w:lastRow="0" w:noHBand="0" w:noVBand="1" w:val="04A0"/>
        <w:tblLayout w:type="fixed"/>
      </w:tblPr>
      <w:tblGrid>
        <w:gridCol w:w="7200"/>
        <w:gridCol w:w="2160"/>
      </w:tblGrid>
      <w:tr>
        <w:trPr>
          <w:cantSplit/>
          <w:tblHeader/>
        </w:trPr>
        <w:tc>
          <w:tcPr>
            <w:tcW w:type="dxa" w:w="7200"/>
            <w:shd w:val="clear" w:color="auto" w:fill="F2F2F2"/>
          </w:tcPr>
          <w:p>
            <w:pPr>
              <w:keepNext/>
              <w:spacing w:line="240" w:lineRule="auto" w:before="40" w:after="40"/>
            </w:pPr>
            <w:r>
              <w:rPr>
                <w:b/>
                <w:sz w:val="20"/>
              </w:rPr>
              <w:t>Item</w:t>
            </w:r>
          </w:p>
        </w:tc>
        <w:tc>
          <w:tcPr>
            <w:tcW w:type="dxa" w:w="2160"/>
            <w:shd w:val="clear" w:color="auto" w:fill="F2F2F2"/>
          </w:tcPr>
          <w:p>
            <w:pPr>
              <w:keepNext/>
              <w:spacing w:line="240" w:lineRule="auto" w:before="40" w:after="40"/>
              <w:jc w:val="right"/>
            </w:pPr>
            <w:r>
              <w:rPr>
                <w:b/>
                <w:sz w:val="20"/>
              </w:rPr>
              <w:t>2023</w:t>
            </w:r>
          </w:p>
        </w:tc>
      </w:tr>
      <w:tr>
        <w:trPr>
          <w:cantSplit/>
        </w:trPr>
        <w:tc>
          <w:tcPr>
            <w:tcW w:type="dxa" w:w="7200"/>
          </w:tcPr>
          <w:p>
            <w:pPr>
              <w:keepNext/>
              <w:spacing w:line="240" w:lineRule="auto" w:before="40" w:after="40"/>
            </w:pPr>
            <w:r>
              <w:rPr>
                <w:b/>
                <w:sz w:val="20"/>
              </w:rPr>
              <w:t>Operating activities</w:t>
            </w:r>
          </w:p>
        </w:tc>
        <w:tc>
          <w:tcPr>
            <w:tcW w:type="dxa" w:w="2160"/>
          </w:tcPr>
          <w:p>
            <w:pPr>
              <w:keepNext/>
              <w:spacing w:line="240" w:lineRule="auto" w:before="40" w:after="40"/>
              <w:jc w:val="right"/>
            </w:pPr>
          </w:p>
        </w:tc>
      </w:tr>
      <w:tr>
        <w:trPr>
          <w:cantSplit/>
        </w:trPr>
        <w:tc>
          <w:tcPr>
            <w:tcW w:type="dxa" w:w="7200"/>
          </w:tcPr>
          <w:p>
            <w:pPr>
              <w:keepNext/>
              <w:spacing w:line="240" w:lineRule="auto" w:before="40" w:after="40"/>
              <w:ind w:left="240"/>
            </w:pPr>
            <w:r>
              <w:rPr>
                <w:b w:val="0"/>
                <w:sz w:val="20"/>
              </w:rPr>
              <w:t>Cash received from customers</w:t>
            </w:r>
          </w:p>
        </w:tc>
        <w:tc>
          <w:tcPr>
            <w:tcW w:type="dxa" w:w="2160"/>
          </w:tcPr>
          <w:p>
            <w:pPr>
              <w:keepNext/>
              <w:spacing w:line="240" w:lineRule="auto" w:before="40" w:after="40"/>
              <w:jc w:val="right"/>
            </w:pPr>
            <w:r>
              <w:rPr>
                <w:b w:val="0"/>
                <w:sz w:val="20"/>
              </w:rPr>
              <w:t>571,015</w:t>
            </w:r>
          </w:p>
        </w:tc>
      </w:tr>
      <w:tr>
        <w:trPr>
          <w:cantSplit/>
        </w:trPr>
        <w:tc>
          <w:tcPr>
            <w:tcW w:type="dxa" w:w="7200"/>
          </w:tcPr>
          <w:p>
            <w:pPr>
              <w:keepNext/>
              <w:spacing w:line="240" w:lineRule="auto" w:before="40" w:after="40"/>
              <w:ind w:left="240"/>
            </w:pPr>
            <w:r>
              <w:rPr>
                <w:b w:val="0"/>
                <w:sz w:val="20"/>
              </w:rPr>
              <w:t>Interest received</w:t>
            </w:r>
          </w:p>
        </w:tc>
        <w:tc>
          <w:tcPr>
            <w:tcW w:type="dxa" w:w="2160"/>
          </w:tcPr>
          <w:p>
            <w:pPr>
              <w:keepNext/>
              <w:spacing w:line="240" w:lineRule="auto" w:before="40" w:after="40"/>
              <w:jc w:val="right"/>
            </w:pPr>
            <w:r>
              <w:rPr>
                <w:b w:val="0"/>
                <w:sz w:val="20"/>
              </w:rPr>
              <w:t>2,949</w:t>
            </w:r>
          </w:p>
        </w:tc>
      </w:tr>
      <w:tr>
        <w:trPr>
          <w:cantSplit/>
        </w:trPr>
        <w:tc>
          <w:tcPr>
            <w:tcW w:type="dxa" w:w="7200"/>
          </w:tcPr>
          <w:p>
            <w:pPr>
              <w:keepNext/>
              <w:spacing w:line="240" w:lineRule="auto" w:before="40" w:after="40"/>
              <w:ind w:left="240"/>
            </w:pPr>
            <w:r>
              <w:rPr>
                <w:b w:val="0"/>
                <w:sz w:val="20"/>
              </w:rPr>
              <w:t>Cash paid to suppliers for inventory</w:t>
            </w:r>
          </w:p>
        </w:tc>
        <w:tc>
          <w:tcPr>
            <w:tcW w:type="dxa" w:w="2160"/>
          </w:tcPr>
          <w:p>
            <w:pPr>
              <w:keepNext/>
              <w:spacing w:line="240" w:lineRule="auto" w:before="40" w:after="40"/>
              <w:jc w:val="right"/>
            </w:pPr>
            <w:r>
              <w:rPr>
                <w:b w:val="0"/>
                <w:sz w:val="20"/>
              </w:rPr>
              <w:t>(297,817)</w:t>
            </w:r>
          </w:p>
        </w:tc>
      </w:tr>
      <w:tr>
        <w:trPr>
          <w:cantSplit/>
        </w:trPr>
        <w:tc>
          <w:tcPr>
            <w:tcW w:type="dxa" w:w="7200"/>
          </w:tcPr>
          <w:p>
            <w:pPr>
              <w:keepNext/>
              <w:spacing w:line="240" w:lineRule="auto" w:before="40" w:after="40"/>
              <w:ind w:left="240"/>
            </w:pPr>
            <w:r>
              <w:rPr>
                <w:b w:val="0"/>
                <w:sz w:val="20"/>
              </w:rPr>
              <w:t>Cash paid for rent (operating leases)</w:t>
            </w:r>
          </w:p>
        </w:tc>
        <w:tc>
          <w:tcPr>
            <w:tcW w:type="dxa" w:w="2160"/>
          </w:tcPr>
          <w:p>
            <w:pPr>
              <w:keepNext/>
              <w:spacing w:line="240" w:lineRule="auto" w:before="40" w:after="40"/>
              <w:jc w:val="right"/>
            </w:pPr>
            <w:r>
              <w:rPr>
                <w:b w:val="0"/>
                <w:sz w:val="20"/>
              </w:rPr>
              <w:t>(10,453)</w:t>
            </w:r>
          </w:p>
        </w:tc>
      </w:tr>
      <w:tr>
        <w:trPr>
          <w:cantSplit/>
        </w:trPr>
        <w:tc>
          <w:tcPr>
            <w:tcW w:type="dxa" w:w="7200"/>
          </w:tcPr>
          <w:p>
            <w:pPr>
              <w:keepNext/>
              <w:spacing w:line="240" w:lineRule="auto" w:before="40" w:after="40"/>
              <w:ind w:left="240"/>
            </w:pPr>
            <w:r>
              <w:rPr>
                <w:b w:val="0"/>
                <w:sz w:val="20"/>
              </w:rPr>
              <w:t>Cash paid to employees and other expenses</w:t>
            </w:r>
          </w:p>
        </w:tc>
        <w:tc>
          <w:tcPr>
            <w:tcW w:type="dxa" w:w="2160"/>
          </w:tcPr>
          <w:p>
            <w:pPr>
              <w:keepNext/>
              <w:spacing w:line="240" w:lineRule="auto" w:before="40" w:after="40"/>
              <w:jc w:val="right"/>
            </w:pPr>
            <w:r>
              <w:rPr>
                <w:b w:val="0"/>
                <w:sz w:val="20"/>
              </w:rPr>
              <w:t>(166,457)</w:t>
            </w:r>
          </w:p>
        </w:tc>
      </w:tr>
      <w:tr>
        <w:trPr>
          <w:cantSplit/>
        </w:trPr>
        <w:tc>
          <w:tcPr>
            <w:tcW w:type="dxa" w:w="7200"/>
          </w:tcPr>
          <w:p>
            <w:pPr>
              <w:keepNext/>
              <w:spacing w:line="240" w:lineRule="auto" w:before="40" w:after="40"/>
              <w:ind w:left="240"/>
            </w:pPr>
            <w:r>
              <w:rPr>
                <w:b w:val="0"/>
                <w:sz w:val="20"/>
              </w:rPr>
              <w:t>Interest paid</w:t>
            </w:r>
          </w:p>
        </w:tc>
        <w:tc>
          <w:tcPr>
            <w:tcW w:type="dxa" w:w="2160"/>
          </w:tcPr>
          <w:p>
            <w:pPr>
              <w:keepNext/>
              <w:spacing w:line="240" w:lineRule="auto" w:before="40" w:after="40"/>
              <w:jc w:val="right"/>
            </w:pPr>
            <w:r>
              <w:rPr>
                <w:b w:val="0"/>
                <w:sz w:val="20"/>
              </w:rPr>
              <w:t>(3,112)</w:t>
            </w:r>
          </w:p>
        </w:tc>
      </w:tr>
      <w:tr>
        <w:trPr>
          <w:cantSplit/>
        </w:trPr>
        <w:tc>
          <w:tcPr>
            <w:tcW w:type="dxa" w:w="7200"/>
          </w:tcPr>
          <w:p>
            <w:pPr>
              <w:keepNext/>
              <w:spacing w:line="240" w:lineRule="auto" w:before="40" w:after="40"/>
              <w:ind w:left="240"/>
            </w:pPr>
            <w:r>
              <w:rPr>
                <w:b w:val="0"/>
                <w:sz w:val="20"/>
              </w:rPr>
              <w:t>Income taxes paid</w:t>
            </w:r>
          </w:p>
        </w:tc>
        <w:tc>
          <w:tcPr>
            <w:tcW w:type="dxa" w:w="2160"/>
          </w:tcPr>
          <w:p>
            <w:pPr>
              <w:keepNext/>
              <w:spacing w:line="240" w:lineRule="auto" w:before="40" w:after="40"/>
              <w:jc w:val="right"/>
            </w:pPr>
            <w:r>
              <w:rPr>
                <w:b w:val="0"/>
                <w:sz w:val="20"/>
              </w:rPr>
              <w:t>(11,179)</w:t>
            </w:r>
          </w:p>
        </w:tc>
      </w:tr>
      <w:tr>
        <w:trPr>
          <w:cantSplit/>
        </w:trPr>
        <w:tc>
          <w:tcPr>
            <w:tcW w:type="dxa" w:w="7200"/>
          </w:tcPr>
          <w:p>
            <w:pPr>
              <w:keepNext/>
              <w:spacing w:line="240" w:lineRule="auto" w:before="40" w:after="40"/>
            </w:pPr>
            <w:r>
              <w:rPr>
                <w:b/>
                <w:sz w:val="20"/>
              </w:rPr>
              <w:t>Net cash from operations</w:t>
            </w:r>
          </w:p>
        </w:tc>
        <w:tc>
          <w:tcPr>
            <w:tcW w:type="dxa" w:w="2160"/>
          </w:tcPr>
          <w:p>
            <w:pPr>
              <w:keepNext/>
              <w:spacing w:line="240" w:lineRule="auto" w:before="40" w:after="40"/>
              <w:jc w:val="right"/>
            </w:pPr>
            <w:r>
              <w:rPr>
                <w:b/>
                <w:sz w:val="20"/>
              </w:rPr>
              <w:t>84,946</w:t>
            </w:r>
          </w:p>
        </w:tc>
      </w:tr>
      <w:tr>
        <w:trPr>
          <w:cantSplit/>
        </w:trPr>
        <w:tc>
          <w:tcPr>
            <w:tcW w:type="dxa" w:w="7200"/>
          </w:tcPr>
          <w:p>
            <w:pPr>
              <w:keepNext/>
              <w:spacing w:line="240" w:lineRule="auto" w:before="40" w:after="40"/>
            </w:pPr>
            <w:r>
              <w:rPr>
                <w:b/>
                <w:sz w:val="20"/>
              </w:rPr>
              <w:t>Investing activities</w:t>
            </w:r>
          </w:p>
        </w:tc>
        <w:tc>
          <w:tcPr>
            <w:tcW w:type="dxa" w:w="2160"/>
          </w:tcPr>
          <w:p>
            <w:pPr>
              <w:keepNext/>
              <w:spacing w:line="240" w:lineRule="auto" w:before="40" w:after="40"/>
              <w:jc w:val="right"/>
            </w:pPr>
          </w:p>
        </w:tc>
      </w:tr>
      <w:tr>
        <w:trPr>
          <w:cantSplit/>
        </w:trPr>
        <w:tc>
          <w:tcPr>
            <w:tcW w:type="dxa" w:w="7200"/>
          </w:tcPr>
          <w:p>
            <w:pPr>
              <w:keepNext/>
              <w:spacing w:line="240" w:lineRule="auto" w:before="40" w:after="40"/>
              <w:ind w:left="240"/>
            </w:pPr>
            <w:r>
              <w:rPr>
                <w:b w:val="0"/>
                <w:sz w:val="20"/>
              </w:rPr>
              <w:t>Purchases of property and equipment</w:t>
            </w:r>
          </w:p>
        </w:tc>
        <w:tc>
          <w:tcPr>
            <w:tcW w:type="dxa" w:w="2160"/>
          </w:tcPr>
          <w:p>
            <w:pPr>
              <w:keepNext/>
              <w:spacing w:line="240" w:lineRule="auto" w:before="40" w:after="40"/>
              <w:jc w:val="right"/>
            </w:pPr>
            <w:r>
              <w:rPr>
                <w:b w:val="0"/>
                <w:sz w:val="20"/>
              </w:rPr>
              <w:t>(52,729)</w:t>
            </w:r>
          </w:p>
        </w:tc>
      </w:tr>
      <w:tr>
        <w:trPr>
          <w:cantSplit/>
        </w:trPr>
        <w:tc>
          <w:tcPr>
            <w:tcW w:type="dxa" w:w="7200"/>
          </w:tcPr>
          <w:p>
            <w:pPr>
              <w:keepNext/>
              <w:spacing w:line="240" w:lineRule="auto" w:before="40" w:after="40"/>
              <w:ind w:left="240"/>
            </w:pPr>
            <w:r>
              <w:rPr>
                <w:b w:val="0"/>
                <w:sz w:val="20"/>
              </w:rPr>
              <w:t>Property sales and incentives</w:t>
            </w:r>
          </w:p>
        </w:tc>
        <w:tc>
          <w:tcPr>
            <w:tcW w:type="dxa" w:w="2160"/>
          </w:tcPr>
          <w:p>
            <w:pPr>
              <w:keepNext/>
              <w:spacing w:line="240" w:lineRule="auto" w:before="40" w:after="40"/>
              <w:jc w:val="right"/>
            </w:pPr>
            <w:r>
              <w:rPr>
                <w:b w:val="0"/>
                <w:sz w:val="20"/>
              </w:rPr>
              <w:t>4,596</w:t>
            </w:r>
          </w:p>
        </w:tc>
      </w:tr>
      <w:tr>
        <w:trPr>
          <w:cantSplit/>
        </w:trPr>
        <w:tc>
          <w:tcPr>
            <w:tcW w:type="dxa" w:w="7200"/>
          </w:tcPr>
          <w:p>
            <w:pPr>
              <w:keepNext/>
              <w:spacing w:line="240" w:lineRule="auto" w:before="40" w:after="40"/>
              <w:ind w:left="240"/>
            </w:pPr>
            <w:r>
              <w:rPr>
                <w:b w:val="0"/>
                <w:sz w:val="20"/>
              </w:rPr>
              <w:t>Acquisitions and other investments</w:t>
            </w:r>
          </w:p>
        </w:tc>
        <w:tc>
          <w:tcPr>
            <w:tcW w:type="dxa" w:w="2160"/>
          </w:tcPr>
          <w:p>
            <w:pPr>
              <w:keepNext/>
              <w:spacing w:line="240" w:lineRule="auto" w:before="40" w:after="40"/>
              <w:jc w:val="right"/>
            </w:pPr>
            <w:r>
              <w:rPr>
                <w:b w:val="0"/>
                <w:sz w:val="20"/>
              </w:rPr>
              <w:t>(5,839)</w:t>
            </w:r>
          </w:p>
        </w:tc>
      </w:tr>
      <w:tr>
        <w:trPr>
          <w:cantSplit/>
        </w:trPr>
        <w:tc>
          <w:tcPr>
            <w:tcW w:type="dxa" w:w="7200"/>
          </w:tcPr>
          <w:p>
            <w:pPr>
              <w:keepNext/>
              <w:spacing w:line="240" w:lineRule="auto" w:before="40" w:after="40"/>
              <w:ind w:left="240"/>
            </w:pPr>
            <w:r>
              <w:rPr>
                <w:b w:val="0"/>
                <w:sz w:val="20"/>
              </w:rPr>
              <w:t>Sales of marketable securities</w:t>
            </w:r>
          </w:p>
        </w:tc>
        <w:tc>
          <w:tcPr>
            <w:tcW w:type="dxa" w:w="2160"/>
          </w:tcPr>
          <w:p>
            <w:pPr>
              <w:keepNext/>
              <w:spacing w:line="240" w:lineRule="auto" w:before="40" w:after="40"/>
              <w:jc w:val="right"/>
            </w:pPr>
            <w:r>
              <w:rPr>
                <w:b w:val="0"/>
                <w:sz w:val="20"/>
              </w:rPr>
              <w:t>5,627</w:t>
            </w:r>
          </w:p>
        </w:tc>
      </w:tr>
      <w:tr>
        <w:trPr>
          <w:cantSplit/>
        </w:trPr>
        <w:tc>
          <w:tcPr>
            <w:tcW w:type="dxa" w:w="7200"/>
          </w:tcPr>
          <w:p>
            <w:pPr>
              <w:keepNext/>
              <w:spacing w:line="240" w:lineRule="auto" w:before="40" w:after="40"/>
              <w:ind w:left="240"/>
            </w:pPr>
            <w:r>
              <w:rPr>
                <w:b w:val="0"/>
                <w:sz w:val="20"/>
              </w:rPr>
              <w:t>Purchases of marketable securities</w:t>
            </w:r>
          </w:p>
        </w:tc>
        <w:tc>
          <w:tcPr>
            <w:tcW w:type="dxa" w:w="2160"/>
          </w:tcPr>
          <w:p>
            <w:pPr>
              <w:keepNext/>
              <w:spacing w:line="240" w:lineRule="auto" w:before="40" w:after="40"/>
              <w:jc w:val="right"/>
            </w:pPr>
            <w:r>
              <w:rPr>
                <w:b w:val="0"/>
                <w:sz w:val="20"/>
              </w:rPr>
              <w:t>(1,488)</w:t>
            </w:r>
          </w:p>
        </w:tc>
      </w:tr>
      <w:tr>
        <w:trPr>
          <w:cantSplit/>
        </w:trPr>
        <w:tc>
          <w:tcPr>
            <w:tcW w:type="dxa" w:w="7200"/>
          </w:tcPr>
          <w:p>
            <w:pPr>
              <w:keepNext/>
              <w:spacing w:line="240" w:lineRule="auto" w:before="40" w:after="40"/>
            </w:pPr>
            <w:r>
              <w:rPr>
                <w:b/>
                <w:sz w:val="20"/>
              </w:rPr>
              <w:t>Net cash used in investing</w:t>
            </w:r>
          </w:p>
        </w:tc>
        <w:tc>
          <w:tcPr>
            <w:tcW w:type="dxa" w:w="2160"/>
          </w:tcPr>
          <w:p>
            <w:pPr>
              <w:keepNext/>
              <w:spacing w:line="240" w:lineRule="auto" w:before="40" w:after="40"/>
              <w:jc w:val="right"/>
            </w:pPr>
            <w:r>
              <w:rPr>
                <w:b/>
                <w:sz w:val="20"/>
              </w:rPr>
              <w:t>(49,833)</w:t>
            </w:r>
          </w:p>
        </w:tc>
      </w:tr>
      <w:tr>
        <w:trPr>
          <w:cantSplit/>
        </w:trPr>
        <w:tc>
          <w:tcPr>
            <w:tcW w:type="dxa" w:w="7200"/>
          </w:tcPr>
          <w:p>
            <w:pPr>
              <w:keepNext/>
              <w:spacing w:line="240" w:lineRule="auto" w:before="40" w:after="40"/>
            </w:pPr>
            <w:r>
              <w:rPr>
                <w:b/>
                <w:sz w:val="20"/>
              </w:rPr>
              <w:t>Financing activities</w:t>
            </w:r>
          </w:p>
        </w:tc>
        <w:tc>
          <w:tcPr>
            <w:tcW w:type="dxa" w:w="2160"/>
          </w:tcPr>
          <w:p>
            <w:pPr>
              <w:keepNext/>
              <w:spacing w:line="240" w:lineRule="auto" w:before="40" w:after="40"/>
              <w:jc w:val="right"/>
            </w:pPr>
          </w:p>
        </w:tc>
      </w:tr>
      <w:tr>
        <w:trPr>
          <w:cantSplit/>
        </w:trPr>
        <w:tc>
          <w:tcPr>
            <w:tcW w:type="dxa" w:w="7200"/>
          </w:tcPr>
          <w:p>
            <w:pPr>
              <w:keepNext/>
              <w:spacing w:line="240" w:lineRule="auto" w:before="40" w:after="40"/>
              <w:ind w:left="240"/>
            </w:pPr>
            <w:r>
              <w:rPr>
                <w:b w:val="0"/>
                <w:sz w:val="20"/>
              </w:rPr>
              <w:t>Long-term debt proceeds, stock issued</w:t>
            </w:r>
          </w:p>
        </w:tc>
        <w:tc>
          <w:tcPr>
            <w:tcW w:type="dxa" w:w="2160"/>
          </w:tcPr>
          <w:p>
            <w:pPr>
              <w:keepNext/>
              <w:spacing w:line="240" w:lineRule="auto" w:before="40" w:after="40"/>
              <w:jc w:val="right"/>
            </w:pPr>
            <w:r>
              <w:rPr>
                <w:b w:val="0"/>
                <w:sz w:val="20"/>
              </w:rPr>
              <w:t>—</w:t>
            </w:r>
          </w:p>
        </w:tc>
      </w:tr>
      <w:tr>
        <w:trPr>
          <w:cantSplit/>
        </w:trPr>
        <w:tc>
          <w:tcPr>
            <w:tcW w:type="dxa" w:w="7200"/>
          </w:tcPr>
          <w:p>
            <w:pPr>
              <w:keepNext/>
              <w:spacing w:line="240" w:lineRule="auto" w:before="40" w:after="40"/>
              <w:ind w:left="240"/>
            </w:pPr>
            <w:r>
              <w:rPr>
                <w:b w:val="0"/>
                <w:sz w:val="20"/>
              </w:rPr>
              <w:t>Short-term debt proceeds</w:t>
            </w:r>
          </w:p>
        </w:tc>
        <w:tc>
          <w:tcPr>
            <w:tcW w:type="dxa" w:w="2160"/>
          </w:tcPr>
          <w:p>
            <w:pPr>
              <w:keepNext/>
              <w:spacing w:line="240" w:lineRule="auto" w:before="40" w:after="40"/>
              <w:jc w:val="right"/>
            </w:pPr>
            <w:r>
              <w:rPr>
                <w:b w:val="0"/>
                <w:sz w:val="20"/>
              </w:rPr>
              <w:t>18,129</w:t>
            </w:r>
          </w:p>
        </w:tc>
      </w:tr>
      <w:tr>
        <w:trPr>
          <w:cantSplit/>
        </w:trPr>
        <w:tc>
          <w:tcPr>
            <w:tcW w:type="dxa" w:w="7200"/>
          </w:tcPr>
          <w:p>
            <w:pPr>
              <w:keepNext/>
              <w:spacing w:line="240" w:lineRule="auto" w:before="40" w:after="40"/>
              <w:ind w:left="240"/>
            </w:pPr>
            <w:r>
              <w:rPr>
                <w:b w:val="0"/>
                <w:sz w:val="20"/>
              </w:rPr>
              <w:t>Short-term debt repayments</w:t>
            </w:r>
          </w:p>
        </w:tc>
        <w:tc>
          <w:tcPr>
            <w:tcW w:type="dxa" w:w="2160"/>
          </w:tcPr>
          <w:p>
            <w:pPr>
              <w:keepNext/>
              <w:spacing w:line="240" w:lineRule="auto" w:before="40" w:after="40"/>
              <w:jc w:val="right"/>
            </w:pPr>
            <w:r>
              <w:rPr>
                <w:b w:val="0"/>
                <w:sz w:val="20"/>
              </w:rPr>
              <w:t>(25,677)</w:t>
            </w:r>
          </w:p>
        </w:tc>
      </w:tr>
      <w:tr>
        <w:trPr>
          <w:cantSplit/>
        </w:trPr>
        <w:tc>
          <w:tcPr>
            <w:tcW w:type="dxa" w:w="7200"/>
          </w:tcPr>
          <w:p>
            <w:pPr>
              <w:keepNext/>
              <w:spacing w:line="240" w:lineRule="auto" w:before="40" w:after="40"/>
              <w:ind w:left="240"/>
            </w:pPr>
            <w:r>
              <w:rPr>
                <w:b w:val="0"/>
                <w:sz w:val="20"/>
              </w:rPr>
              <w:t>Long-term debt repayments</w:t>
            </w:r>
          </w:p>
        </w:tc>
        <w:tc>
          <w:tcPr>
            <w:tcW w:type="dxa" w:w="2160"/>
          </w:tcPr>
          <w:p>
            <w:pPr>
              <w:keepNext/>
              <w:spacing w:line="240" w:lineRule="auto" w:before="40" w:after="40"/>
              <w:jc w:val="right"/>
            </w:pPr>
            <w:r>
              <w:rPr>
                <w:b w:val="0"/>
                <w:sz w:val="20"/>
              </w:rPr>
              <w:t>(3,676)</w:t>
            </w:r>
          </w:p>
        </w:tc>
      </w:tr>
      <w:tr>
        <w:trPr>
          <w:cantSplit/>
        </w:trPr>
        <w:tc>
          <w:tcPr>
            <w:tcW w:type="dxa" w:w="7200"/>
          </w:tcPr>
          <w:p>
            <w:pPr>
              <w:keepNext/>
              <w:spacing w:line="240" w:lineRule="auto" w:before="40" w:after="40"/>
              <w:ind w:left="240"/>
            </w:pPr>
            <w:r>
              <w:rPr>
                <w:b w:val="0"/>
                <w:sz w:val="20"/>
              </w:rPr>
              <w:t>Finance lease repayments</w:t>
            </w:r>
          </w:p>
        </w:tc>
        <w:tc>
          <w:tcPr>
            <w:tcW w:type="dxa" w:w="2160"/>
          </w:tcPr>
          <w:p>
            <w:pPr>
              <w:keepNext/>
              <w:spacing w:line="240" w:lineRule="auto" w:before="40" w:after="40"/>
              <w:jc w:val="right"/>
            </w:pPr>
            <w:r>
              <w:rPr>
                <w:b w:val="0"/>
                <w:sz w:val="20"/>
              </w:rPr>
              <w:t>(4,384)</w:t>
            </w:r>
          </w:p>
        </w:tc>
      </w:tr>
      <w:tr>
        <w:trPr>
          <w:cantSplit/>
        </w:trPr>
        <w:tc>
          <w:tcPr>
            <w:tcW w:type="dxa" w:w="7200"/>
          </w:tcPr>
          <w:p>
            <w:pPr>
              <w:keepNext/>
              <w:spacing w:line="240" w:lineRule="auto" w:before="40" w:after="40"/>
              <w:ind w:left="240"/>
            </w:pPr>
            <w:r>
              <w:rPr>
                <w:b w:val="0"/>
                <w:sz w:val="20"/>
              </w:rPr>
              <w:t>Financing obligation repayments</w:t>
            </w:r>
          </w:p>
        </w:tc>
        <w:tc>
          <w:tcPr>
            <w:tcW w:type="dxa" w:w="2160"/>
          </w:tcPr>
          <w:p>
            <w:pPr>
              <w:keepNext/>
              <w:spacing w:line="240" w:lineRule="auto" w:before="40" w:after="40"/>
              <w:jc w:val="right"/>
            </w:pPr>
            <w:r>
              <w:rPr>
                <w:b w:val="0"/>
                <w:sz w:val="20"/>
              </w:rPr>
              <w:t>(271)</w:t>
            </w:r>
          </w:p>
        </w:tc>
      </w:tr>
      <w:tr>
        <w:trPr>
          <w:cantSplit/>
        </w:trPr>
        <w:tc>
          <w:tcPr>
            <w:tcW w:type="dxa" w:w="7200"/>
          </w:tcPr>
          <w:p>
            <w:pPr>
              <w:keepNext/>
              <w:spacing w:line="240" w:lineRule="auto" w:before="40" w:after="40"/>
            </w:pPr>
            <w:r>
              <w:rPr>
                <w:b/>
                <w:sz w:val="20"/>
              </w:rPr>
              <w:t>Net cash used in financing</w:t>
            </w:r>
          </w:p>
        </w:tc>
        <w:tc>
          <w:tcPr>
            <w:tcW w:type="dxa" w:w="2160"/>
          </w:tcPr>
          <w:p>
            <w:pPr>
              <w:keepNext/>
              <w:spacing w:line="240" w:lineRule="auto" w:before="40" w:after="40"/>
              <w:jc w:val="right"/>
            </w:pPr>
            <w:r>
              <w:rPr>
                <w:b/>
                <w:sz w:val="20"/>
              </w:rPr>
              <w:t>(15,879)</w:t>
            </w:r>
          </w:p>
        </w:tc>
      </w:tr>
      <w:tr>
        <w:trPr>
          <w:cantSplit/>
        </w:trPr>
        <w:tc>
          <w:tcPr>
            <w:tcW w:type="dxa" w:w="7200"/>
          </w:tcPr>
          <w:p>
            <w:pPr>
              <w:keepNext/>
              <w:spacing w:line="240" w:lineRule="auto" w:before="40" w:after="40"/>
            </w:pPr>
            <w:r>
              <w:rPr>
                <w:b w:val="0"/>
                <w:sz w:val="20"/>
              </w:rPr>
              <w:t>Foreign currency effect</w:t>
            </w:r>
          </w:p>
        </w:tc>
        <w:tc>
          <w:tcPr>
            <w:tcW w:type="dxa" w:w="2160"/>
          </w:tcPr>
          <w:p>
            <w:pPr>
              <w:keepNext/>
              <w:spacing w:line="240" w:lineRule="auto" w:before="40" w:after="40"/>
              <w:jc w:val="right"/>
            </w:pPr>
            <w:r>
              <w:rPr>
                <w:b w:val="0"/>
                <w:sz w:val="20"/>
              </w:rPr>
              <w:t>403</w:t>
            </w:r>
          </w:p>
        </w:tc>
      </w:tr>
      <w:tr>
        <w:trPr>
          <w:cantSplit/>
        </w:trPr>
        <w:tc>
          <w:tcPr>
            <w:tcW w:type="dxa" w:w="7200"/>
          </w:tcPr>
          <w:p>
            <w:pPr>
              <w:keepNext/>
              <w:spacing w:line="240" w:lineRule="auto" w:before="40" w:after="40"/>
            </w:pPr>
            <w:r>
              <w:rPr>
                <w:b/>
                <w:sz w:val="20"/>
              </w:rPr>
              <w:t>Net increase in cash</w:t>
            </w:r>
          </w:p>
        </w:tc>
        <w:tc>
          <w:tcPr>
            <w:tcW w:type="dxa" w:w="2160"/>
          </w:tcPr>
          <w:p>
            <w:pPr>
              <w:keepNext/>
              <w:spacing w:line="240" w:lineRule="auto" w:before="40" w:after="40"/>
              <w:jc w:val="right"/>
            </w:pPr>
            <w:r>
              <w:rPr>
                <w:b/>
                <w:sz w:val="20"/>
              </w:rPr>
              <w:t>19,637</w:t>
            </w:r>
          </w:p>
        </w:tc>
      </w:tr>
      <w:tr>
        <w:trPr>
          <w:cantSplit/>
        </w:trPr>
        <w:tc>
          <w:tcPr>
            <w:tcW w:type="dxa" w:w="7200"/>
          </w:tcPr>
          <w:p>
            <w:pPr>
              <w:keepNext/>
              <w:spacing w:line="240" w:lineRule="auto" w:before="40" w:after="40"/>
            </w:pPr>
            <w:r>
              <w:rPr>
                <w:b w:val="0"/>
                <w:sz w:val="20"/>
              </w:rPr>
              <w:t>Cash, beginning of year</w:t>
            </w:r>
          </w:p>
        </w:tc>
        <w:tc>
          <w:tcPr>
            <w:tcW w:type="dxa" w:w="2160"/>
          </w:tcPr>
          <w:p>
            <w:pPr>
              <w:keepNext/>
              <w:spacing w:line="240" w:lineRule="auto" w:before="40" w:after="40"/>
              <w:jc w:val="right"/>
            </w:pPr>
            <w:r>
              <w:rPr>
                <w:b w:val="0"/>
                <w:sz w:val="20"/>
              </w:rPr>
              <w:t>54,253</w:t>
            </w:r>
          </w:p>
        </w:tc>
      </w:tr>
      <w:tr>
        <w:trPr>
          <w:cantSplit/>
        </w:trPr>
        <w:tc>
          <w:tcPr>
            <w:tcW w:type="dxa" w:w="7200"/>
          </w:tcPr>
          <w:p>
            <w:pPr>
              <w:spacing w:line="240" w:lineRule="auto" w:before="40" w:after="40"/>
            </w:pPr>
            <w:r>
              <w:rPr>
                <w:b/>
                <w:sz w:val="20"/>
              </w:rPr>
              <w:t>Cash, end of year</w:t>
            </w:r>
          </w:p>
        </w:tc>
        <w:tc>
          <w:tcPr>
            <w:tcW w:type="dxa" w:w="2160"/>
          </w:tcPr>
          <w:p>
            <w:pPr>
              <w:spacing w:line="240" w:lineRule="auto" w:before="40" w:after="40"/>
              <w:jc w:val="right"/>
            </w:pPr>
            <w:r>
              <w:rPr>
                <w:b/>
                <w:sz w:val="20"/>
              </w:rPr>
              <w:t>73,890</w:t>
            </w:r>
          </w:p>
        </w:tc>
      </w:tr>
    </w:tbl>
    <w:p>
      <w:pPr>
        <w:keepNext/>
        <w:jc w:val="center"/>
      </w:pPr>
      <w:r>
        <w:rPr>
          <w:b/>
          <w:i w:val="0"/>
        </w:rPr>
        <w:t>Direct vs. Indirect Methods</w:t>
      </w:r>
    </w:p>
    <w:p>
      <w:pPr>
        <w:ind w:firstLine="720"/>
      </w:pPr>
      <w:r>
        <w:rPr>
          <w:b w:val="0"/>
          <w:i w:val="0"/>
        </w:rPr>
        <w:t>The direct method lists cash received from customers and paid to suppliers and employees, whereas the indirect method starts with net income and adjusts for noncash items and working-capital changes. Both give the same operating total, and investing and financing are identical. US GAAP encourages the direct method but allows the indirect one (Franklin et al., 2022, Section 16.5). Direct disclosures also improve forecasts of future cash flows and earnings, because items like customer receipts cannot be reliably estimated from other statements (Orpurt &amp; Zang, 2009).</w:t>
      </w:r>
    </w:p>
    <w:p>
      <w:pPr>
        <w:keepNext/>
        <w:jc w:val="center"/>
      </w:pPr>
      <w:r>
        <w:rPr>
          <w:b/>
          <w:i w:val="0"/>
        </w:rPr>
        <w:t>Cash Flow vs. Net Income</w:t>
      </w:r>
    </w:p>
    <w:p>
      <w:pPr>
        <w:ind w:firstLine="720"/>
      </w:pPr>
      <w:r>
        <w:rPr>
          <w:b w:val="0"/>
          <w:i w:val="0"/>
        </w:rPr>
        <w:t>Operating cash flow of $84,946 million was 2.8 times net income of $30,425 million. Noncash charges more than explain the gap: $48,663 million of depreciation and amortization and $24,023 million of stock-based compensation. Cash from operations equaled 14.8% of sales against a 5.3% net margin, so the core business converts sales into cash well, although heavy infrastructure spending left free cash flow at $36,813 million (Amazon.com, Inc., 2024).</w:t>
      </w:r>
    </w:p>
    <w:p>
      <w:pPr>
        <w:keepNext/>
        <w:jc w:val="center"/>
      </w:pPr>
      <w:r>
        <w:rPr>
          <w:b/>
          <w:i w:val="0"/>
        </w:rPr>
        <w:t>Long-Term Liabilities</w:t>
      </w:r>
    </w:p>
    <w:p>
      <w:pPr>
        <w:ind w:firstLine="720"/>
      </w:pPr>
      <w:r>
        <w:rPr>
          <w:b w:val="0"/>
          <w:i w:val="0"/>
        </w:rPr>
        <w:t>Long-term liabilities total $161,062 million. Long-term debt of $58,314 million includes six note issuances (2014–2022) with stated rates of 0.45%–5.20% and maturities through 2062, plus the credit facility at 6.6%. Long-term lease liabilities are $77,297 million ($67,220 million operating, $10,077 million finance). Other long-term liabilities of $25,451 million include about $6.6 billion of financing obligations and $5.7 billion of unearned revenue (Amazon.com, Inc., 2024).</w:t>
      </w:r>
    </w:p>
    <w:p>
      <w:pPr>
        <w:keepNext/>
        <w:jc w:val="center"/>
      </w:pPr>
      <w:r>
        <w:rPr>
          <w:b/>
          <w:i w:val="0"/>
        </w:rPr>
        <w:t>Structure and Solvency</w:t>
      </w:r>
    </w:p>
    <w:p>
      <w:pPr>
        <w:ind w:firstLine="720"/>
      </w:pPr>
      <w:r>
        <w:rPr>
          <w:b w:val="0"/>
          <w:i w:val="0"/>
        </w:rPr>
        <w:t>Total liabilities of $325,979 million against $201,875 million of equity give a debt-to-equity ratio of 1.61, down from 2.17 in 2022 (Dahlquist et al., 2022). By itself, long-term debt is only 0.29 of equity, so leases and operating liabilities drive the leverage. Operating income covered interest expense 11.6 times, and $86,780 million of cash and securities dwarfs the $8,494 million due in 2024. A current ratio of 1.05 leaves little slack, but with long-term debt mostly fixed-rate and down from $67,150 million, I see a balanced structure, not an overextended one.</w:t>
      </w:r>
      <w:r>
        <w:br w:type="page"/>
      </w:r>
    </w:p>
    <w:p>
      <w:pPr>
        <w:jc w:val="center"/>
      </w:pPr>
      <w:r>
        <w:rPr>
          <w:b/>
          <w:i w:val="0"/>
        </w:rPr>
        <w:t>References</w:t>
      </w:r>
    </w:p>
    <w:p>
      <w:pPr>
        <w:ind w:left="720" w:hanging="720"/>
      </w:pPr>
      <w:r>
        <w:rPr>
          <w:i w:val="0"/>
        </w:rPr>
        <w:t xml:space="preserve">Amazon.com, Inc. (2024, February 2). </w:t>
      </w:r>
      <w:r>
        <w:rPr>
          <w:i/>
        </w:rPr>
        <w:t>Annual report on Form 10-K for the fiscal year ended December 31, 2023</w:t>
      </w:r>
      <w:r>
        <w:rPr>
          <w:i w:val="0"/>
        </w:rPr>
        <w:t xml:space="preserve">. U.S. Securities and Exchange Commission. </w:t>
      </w:r>
      <w:hyperlink r:id="rId13">
        <w:r>
          <w:rPr>
            <w:color w:val="0563C1"/>
            <w:u w:val="single"/>
          </w:rPr>
          <w:t>https://www.sec.gov/Archives/edgar/data/1018724/000101872424000008/amzn-20231231.htm</w:t>
        </w:r>
      </w:hyperlink>
    </w:p>
    <w:p>
      <w:pPr>
        <w:ind w:left="720" w:hanging="720"/>
      </w:pPr>
      <w:r>
        <w:rPr>
          <w:i w:val="0"/>
        </w:rPr>
        <w:t xml:space="preserve">Dahlquist, J., Knight, R., Adams, A. S., Bacon, C. J., Cooper, S. T., Griffin, M. P., Higgins, K. C., &amp; Musolino, L. (2022). </w:t>
      </w:r>
      <w:r>
        <w:rPr>
          <w:i/>
        </w:rPr>
        <w:t>Principles of finance</w:t>
      </w:r>
      <w:r>
        <w:rPr>
          <w:i w:val="0"/>
        </w:rPr>
        <w:t xml:space="preserve">. OpenStax. </w:t>
      </w:r>
      <w:hyperlink r:id="rId14">
        <w:r>
          <w:rPr>
            <w:color w:val="0563C1"/>
            <w:u w:val="single"/>
          </w:rPr>
          <w:t>https://openstax.org/books/principles-finance/pages/6-4-solvency-ratios</w:t>
        </w:r>
      </w:hyperlink>
    </w:p>
    <w:p>
      <w:pPr>
        <w:ind w:left="720" w:hanging="720"/>
      </w:pPr>
      <w:r>
        <w:rPr>
          <w:i w:val="0"/>
        </w:rPr>
        <w:t xml:space="preserve">Franklin, M., Graybeal, P., Cooper, D., Bean, L., Burt, I., Carr, S., Collins, D. T., Coram, S., Creech, K., Czyzewski, A., Gauci, M., Greenman, C., Haselkorn, M., Irujo, C., Johnson, C., Khanlarian, C., Lukshaitis, T., Luna, D., Nantz, B., … Woolley, D. (2022). </w:t>
      </w:r>
      <w:r>
        <w:rPr>
          <w:i/>
        </w:rPr>
        <w:t>Principles of accounting, volume 1: Financial accounting</w:t>
      </w:r>
      <w:r>
        <w:rPr>
          <w:i w:val="0"/>
        </w:rPr>
        <w:t xml:space="preserve">. OpenStax. </w:t>
      </w:r>
      <w:hyperlink r:id="rId11">
        <w:r>
          <w:rPr>
            <w:color w:val="0563C1"/>
            <w:u w:val="single"/>
          </w:rPr>
          <w:t>https://openstax.org/details/books/principles-financial-accounting</w:t>
        </w:r>
      </w:hyperlink>
    </w:p>
    <w:p>
      <w:pPr>
        <w:ind w:left="720" w:hanging="720"/>
      </w:pPr>
      <w:r>
        <w:rPr>
          <w:i w:val="0"/>
        </w:rPr>
        <w:t xml:space="preserve">Orpurt, S. F., &amp; Zang, Y. (2009). Do direct cash flow disclosures help predict future operating cash flows and earnings? </w:t>
      </w:r>
      <w:r>
        <w:rPr>
          <w:i/>
        </w:rPr>
        <w:t>The Accounting Review, 84</w:t>
      </w:r>
      <w:r>
        <w:rPr>
          <w:i w:val="0"/>
        </w:rPr>
        <w:t xml:space="preserve">(3), 893–935. </w:t>
      </w:r>
      <w:hyperlink r:id="rId15">
        <w:r>
          <w:rPr>
            <w:color w:val="0563C1"/>
            <w:u w:val="single"/>
          </w:rPr>
          <w:t>https://doi.org/10.2308/accr.2009.84.3.893</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separate"/>
    </w:r>
    <w: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1" Type="http://schemas.openxmlformats.org/officeDocument/2006/relationships/hyperlink" Target="https://openstax.org/details/books/principles-financial-accounting" TargetMode="External"/><Relationship Id="rId13" Type="http://schemas.openxmlformats.org/officeDocument/2006/relationships/hyperlink" Target="https://www.sec.gov/Archives/edgar/data/1018724/000101872424000008/amzn-20231231.htm" TargetMode="External"/><Relationship Id="rId14" Type="http://schemas.openxmlformats.org/officeDocument/2006/relationships/hyperlink" Target="https://openstax.org/books/principles-finance/pages/6-4-solvency-ratios" TargetMode="External"/><Relationship Id="rId15" Type="http://schemas.openxmlformats.org/officeDocument/2006/relationships/hyperlink" Target="https://doi.org/10.2308/accr.2009.84.3.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6</Pages>
  <Words>740</Words>
  <Characters>4480</Characters>
  <Application>Microsoft Office Word</Application>
  <DocSecurity>0</DocSecurity>
  <Lines>92</Lines>
  <Paragraphs>88</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3</cp:revision>
  <dcterms:created xsi:type="dcterms:W3CDTF">2026-10-21T20:35:00Z</dcterms:created>
  <dcterms:modified xsi:type="dcterms:W3CDTF">2026-10-21T22:20:00Z</dcterms:modified>
  <cp:category/>
</cp:coreProperties>
</file>