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rPr>
        <w:t>Urban Path Co.: Receivables and Inventory Ratios, 2022–2023</w:t>
      </w:r>
    </w:p>
    <w:p>
      <w:pPr>
        <w:jc w:val="center"/>
      </w:pPr>
    </w:p>
    <w:p>
      <w:pPr>
        <w:jc w:val="center"/>
      </w:pPr>
      <w:r>
        <w:rPr>
          <w:b w:val="0"/>
          <w:i w:val="0"/>
        </w:rPr>
        <w:t>Saira Binte Shahriar</w:t>
      </w:r>
    </w:p>
    <w:p>
      <w:pPr>
        <w:jc w:val="center"/>
      </w:pPr>
      <w:r>
        <w:rPr>
          <w:b w:val="0"/>
          <w:i w:val="0"/>
        </w:rPr>
        <w:t>University of the People</w:t>
      </w:r>
    </w:p>
    <w:p>
      <w:pPr>
        <w:jc w:val="center"/>
      </w:pPr>
      <w:r>
        <w:rPr>
          <w:b w:val="0"/>
          <w:i w:val="0"/>
        </w:rPr>
        <w:t>BUS 1102-01: Basic Accounting, AY2027-T1</w:t>
      </w:r>
    </w:p>
    <w:p>
      <w:pPr>
        <w:jc w:val="center"/>
      </w:pPr>
      <w:r>
        <w:rPr>
          <w:b w:val="0"/>
          <w:i w:val="0"/>
        </w:rPr>
        <w:t>Richmond Agyarkoh</w:t>
      </w:r>
    </w:p>
    <w:p>
      <w:pPr>
        <w:jc w:val="center"/>
      </w:pPr>
      <w:r>
        <w:rPr>
          <w:b w:val="0"/>
          <w:i w:val="0"/>
        </w:rPr>
        <w:t>October 7, 2026</w:t>
      </w:r>
      <w:r>
        <w:br w:type="page"/>
      </w:r>
    </w:p>
    <w:p>
      <w:pPr>
        <w:jc w:val="center"/>
      </w:pPr>
      <w:r>
        <w:rPr>
          <w:b/>
          <w:i w:val="0"/>
        </w:rPr>
        <w:t>Urban Path Co.: Receivables and Inventory Ratios, 2022–2023</w:t>
      </w:r>
    </w:p>
    <w:p>
      <w:pPr>
        <w:keepNext/>
        <w:jc w:val="center"/>
      </w:pPr>
      <w:r>
        <w:rPr>
          <w:b/>
          <w:i w:val="0"/>
        </w:rPr>
        <w:t>Calculation</w:t>
      </w:r>
    </w:p>
    <w:p>
      <w:pPr>
        <w:keepNext/>
      </w:pPr>
      <w:r>
        <w:rPr>
          <w:b/>
          <w:i w:val="0"/>
        </w:rPr>
        <w:t>Table 1</w:t>
      </w:r>
    </w:p>
    <w:p>
      <w:pPr>
        <w:keepNext/>
      </w:pPr>
      <w:r>
        <w:rPr>
          <w:b w:val="0"/>
          <w:i/>
        </w:rPr>
        <w:t>Urban Path Co. Receivables and Inventory Ratios, 2022 and 2023</w:t>
      </w:r>
    </w:p>
    <w:tbl>
      <w:tblPr>
        <w:tblStyle w:val="TableGrid"/>
        <w:tblW w:type="auto" w:w="0"/>
        <w:jc w:val="center"/>
        <w:tblLayout w:type="fixed"/>
        <w:tblLook w:firstColumn="1" w:firstRow="1" w:lastColumn="0" w:lastRow="0" w:noHBand="0" w:noVBand="1" w:val="04A0"/>
        <w:tblLayout w:type="fixed"/>
      </w:tblPr>
      <w:tblGrid>
        <w:gridCol w:w="1944"/>
        <w:gridCol w:w="2088"/>
        <w:gridCol w:w="2664"/>
        <w:gridCol w:w="2664"/>
      </w:tblGrid>
      <w:tr>
        <w:trPr>
          <w:cantSplit/>
          <w:tblHeader/>
        </w:trPr>
        <w:tc>
          <w:tcPr>
            <w:tcW w:type="dxa" w:w="1944"/>
            <w:shd w:val="clear" w:color="auto" w:fill="F2F2F2"/>
          </w:tcPr>
          <w:p>
            <w:pPr>
              <w:spacing w:line="240" w:lineRule="auto" w:before="40" w:after="40"/>
            </w:pPr>
            <w:r>
              <w:rPr>
                <w:b/>
                <w:sz w:val="20"/>
              </w:rPr>
              <w:t>Ratio</w:t>
            </w:r>
          </w:p>
        </w:tc>
        <w:tc>
          <w:tcPr>
            <w:tcW w:type="dxa" w:w="2088"/>
            <w:shd w:val="clear" w:color="auto" w:fill="F2F2F2"/>
          </w:tcPr>
          <w:p>
            <w:pPr>
              <w:spacing w:line="240" w:lineRule="auto" w:before="40" w:after="40"/>
            </w:pPr>
            <w:r>
              <w:rPr>
                <w:b/>
                <w:sz w:val="20"/>
              </w:rPr>
              <w:t>Formula</w:t>
            </w:r>
          </w:p>
        </w:tc>
        <w:tc>
          <w:tcPr>
            <w:tcW w:type="dxa" w:w="2664"/>
            <w:shd w:val="clear" w:color="auto" w:fill="F2F2F2"/>
          </w:tcPr>
          <w:p>
            <w:pPr>
              <w:spacing w:line="240" w:lineRule="auto" w:before="40" w:after="40"/>
            </w:pPr>
            <w:r>
              <w:rPr>
                <w:b/>
                <w:sz w:val="20"/>
              </w:rPr>
              <w:t>2022</w:t>
              <w:br/>
            </w:r>
            <w:r>
              <w:rPr>
                <w:b w:val="0"/>
                <w:sz w:val="20"/>
              </w:rPr>
              <w:t>(Calculation &amp; Result)</w:t>
            </w:r>
          </w:p>
        </w:tc>
        <w:tc>
          <w:tcPr>
            <w:tcW w:type="dxa" w:w="2664"/>
            <w:shd w:val="clear" w:color="auto" w:fill="F2F2F2"/>
          </w:tcPr>
          <w:p>
            <w:pPr>
              <w:spacing w:line="240" w:lineRule="auto" w:before="40" w:after="40"/>
            </w:pPr>
            <w:r>
              <w:rPr>
                <w:b/>
                <w:sz w:val="20"/>
              </w:rPr>
              <w:t>2023</w:t>
              <w:br/>
            </w:r>
            <w:r>
              <w:rPr>
                <w:b w:val="0"/>
                <w:sz w:val="20"/>
              </w:rPr>
              <w:t>(Calculation &amp; Result)</w:t>
            </w:r>
          </w:p>
        </w:tc>
      </w:tr>
      <w:tr>
        <w:trPr>
          <w:cantSplit/>
        </w:trPr>
        <w:tc>
          <w:tcPr>
            <w:tcW w:type="dxa" w:w="1944"/>
          </w:tcPr>
          <w:p>
            <w:pPr>
              <w:spacing w:line="240" w:lineRule="auto" w:before="40" w:after="40"/>
            </w:pPr>
            <w:r>
              <w:rPr>
                <w:sz w:val="20"/>
              </w:rPr>
              <w:t>Accounts Receivable Turnover Ratio</w:t>
            </w:r>
          </w:p>
        </w:tc>
        <w:tc>
          <w:tcPr>
            <w:tcW w:type="dxa" w:w="2088"/>
          </w:tcPr>
          <w:p>
            <w:pPr>
              <w:spacing w:line="240" w:lineRule="auto" w:before="40" w:after="40"/>
            </w:pPr>
            <w:r>
              <w:rPr>
                <w:sz w:val="20"/>
              </w:rPr>
              <w:t>Net credit sales ÷ Average accounts receivable</w:t>
            </w:r>
          </w:p>
        </w:tc>
        <w:tc>
          <w:tcPr>
            <w:tcW w:type="dxa" w:w="2664"/>
          </w:tcPr>
          <w:p>
            <w:pPr>
              <w:spacing w:line="240" w:lineRule="auto" w:before="40" w:after="40"/>
            </w:pPr>
            <w:r>
              <w:rPr>
                <w:b w:val="0"/>
                <w:sz w:val="20"/>
              </w:rPr>
              <w:t>$500,000 ÷ $90,000</w:t>
              <w:br/>
            </w:r>
            <w:r>
              <w:rPr>
                <w:b/>
                <w:sz w:val="20"/>
              </w:rPr>
              <w:t>= 5.56 times</w:t>
            </w:r>
          </w:p>
        </w:tc>
        <w:tc>
          <w:tcPr>
            <w:tcW w:type="dxa" w:w="2664"/>
          </w:tcPr>
          <w:p>
            <w:pPr>
              <w:spacing w:line="240" w:lineRule="auto" w:before="40" w:after="40"/>
            </w:pPr>
            <w:r>
              <w:rPr>
                <w:b w:val="0"/>
                <w:sz w:val="20"/>
              </w:rPr>
              <w:t>$600,000 ÷ [($100,000 + $90,000) ÷ 2]</w:t>
              <w:br/>
            </w:r>
            <w:r>
              <w:rPr>
                <w:b w:val="0"/>
                <w:sz w:val="20"/>
              </w:rPr>
              <w:t>= $600,000 ÷ $95,000</w:t>
              <w:br/>
            </w:r>
            <w:r>
              <w:rPr>
                <w:b/>
                <w:sz w:val="20"/>
              </w:rPr>
              <w:t>= 6.32 times</w:t>
            </w:r>
          </w:p>
        </w:tc>
      </w:tr>
      <w:tr>
        <w:trPr>
          <w:cantSplit/>
        </w:trPr>
        <w:tc>
          <w:tcPr>
            <w:tcW w:type="dxa" w:w="1944"/>
          </w:tcPr>
          <w:p>
            <w:pPr>
              <w:spacing w:line="240" w:lineRule="auto" w:before="40" w:after="40"/>
            </w:pPr>
            <w:r>
              <w:rPr>
                <w:sz w:val="20"/>
              </w:rPr>
              <w:t>Number of Days' Sales in Receivables Ratio</w:t>
            </w:r>
          </w:p>
        </w:tc>
        <w:tc>
          <w:tcPr>
            <w:tcW w:type="dxa" w:w="2088"/>
          </w:tcPr>
          <w:p>
            <w:pPr>
              <w:spacing w:line="240" w:lineRule="auto" w:before="40" w:after="40"/>
            </w:pPr>
            <w:r>
              <w:rPr>
                <w:sz w:val="20"/>
              </w:rPr>
              <w:t>365 ÷ Accounts receivable turnover ratio</w:t>
            </w:r>
          </w:p>
        </w:tc>
        <w:tc>
          <w:tcPr>
            <w:tcW w:type="dxa" w:w="2664"/>
          </w:tcPr>
          <w:p>
            <w:pPr>
              <w:spacing w:line="240" w:lineRule="auto" w:before="40" w:after="40"/>
            </w:pPr>
            <w:r>
              <w:rPr>
                <w:b w:val="0"/>
                <w:sz w:val="20"/>
              </w:rPr>
              <w:t>365 ÷ 5.5556</w:t>
              <w:br/>
            </w:r>
            <w:r>
              <w:rPr>
                <w:b/>
                <w:sz w:val="20"/>
              </w:rPr>
              <w:t>= 65.70 days</w:t>
            </w:r>
          </w:p>
        </w:tc>
        <w:tc>
          <w:tcPr>
            <w:tcW w:type="dxa" w:w="2664"/>
          </w:tcPr>
          <w:p>
            <w:pPr>
              <w:spacing w:line="240" w:lineRule="auto" w:before="40" w:after="40"/>
            </w:pPr>
            <w:r>
              <w:rPr>
                <w:b w:val="0"/>
                <w:sz w:val="20"/>
              </w:rPr>
              <w:t>365 ÷ 6.3158</w:t>
              <w:br/>
            </w:r>
            <w:r>
              <w:rPr>
                <w:b/>
                <w:sz w:val="20"/>
              </w:rPr>
              <w:t>= 57.79 days</w:t>
            </w:r>
          </w:p>
        </w:tc>
      </w:tr>
      <w:tr>
        <w:trPr>
          <w:cantSplit/>
        </w:trPr>
        <w:tc>
          <w:tcPr>
            <w:tcW w:type="dxa" w:w="1944"/>
          </w:tcPr>
          <w:p>
            <w:pPr>
              <w:spacing w:line="240" w:lineRule="auto" w:before="40" w:after="40"/>
            </w:pPr>
            <w:r>
              <w:rPr>
                <w:sz w:val="20"/>
              </w:rPr>
              <w:t>Inventory Turnover Ratio</w:t>
            </w:r>
          </w:p>
        </w:tc>
        <w:tc>
          <w:tcPr>
            <w:tcW w:type="dxa" w:w="2088"/>
          </w:tcPr>
          <w:p>
            <w:pPr>
              <w:spacing w:line="240" w:lineRule="auto" w:before="40" w:after="40"/>
            </w:pPr>
            <w:r>
              <w:rPr>
                <w:sz w:val="20"/>
              </w:rPr>
              <w:t>Cost of goods sold ÷ Average inventory</w:t>
            </w:r>
          </w:p>
        </w:tc>
        <w:tc>
          <w:tcPr>
            <w:tcW w:type="dxa" w:w="2664"/>
          </w:tcPr>
          <w:p>
            <w:pPr>
              <w:spacing w:line="240" w:lineRule="auto" w:before="40" w:after="40"/>
            </w:pPr>
            <w:r>
              <w:rPr>
                <w:b w:val="0"/>
                <w:sz w:val="20"/>
              </w:rPr>
              <w:t>$350,000 ÷ $70,000</w:t>
              <w:br/>
            </w:r>
            <w:r>
              <w:rPr>
                <w:b/>
                <w:sz w:val="20"/>
              </w:rPr>
              <w:t>= 5.00 times</w:t>
            </w:r>
          </w:p>
        </w:tc>
        <w:tc>
          <w:tcPr>
            <w:tcW w:type="dxa" w:w="2664"/>
          </w:tcPr>
          <w:p>
            <w:pPr>
              <w:spacing w:line="240" w:lineRule="auto" w:before="40" w:after="40"/>
            </w:pPr>
            <w:r>
              <w:rPr>
                <w:b w:val="0"/>
                <w:sz w:val="20"/>
              </w:rPr>
              <w:t>$400,000 ÷ [($80,000 + $70,000) ÷ 2]</w:t>
              <w:br/>
            </w:r>
            <w:r>
              <w:rPr>
                <w:b w:val="0"/>
                <w:sz w:val="20"/>
              </w:rPr>
              <w:t>= $400,000 ÷ $75,000</w:t>
              <w:br/>
            </w:r>
            <w:r>
              <w:rPr>
                <w:b/>
                <w:sz w:val="20"/>
              </w:rPr>
              <w:t>= 5.33 times</w:t>
            </w:r>
          </w:p>
        </w:tc>
      </w:tr>
      <w:tr>
        <w:trPr>
          <w:cantSplit/>
        </w:trPr>
        <w:tc>
          <w:tcPr>
            <w:tcW w:type="dxa" w:w="1944"/>
          </w:tcPr>
          <w:p>
            <w:pPr>
              <w:spacing w:line="240" w:lineRule="auto" w:before="40" w:after="40"/>
            </w:pPr>
            <w:r>
              <w:rPr>
                <w:sz w:val="20"/>
              </w:rPr>
              <w:t>Days' Sales in Inventory Ratio</w:t>
            </w:r>
          </w:p>
        </w:tc>
        <w:tc>
          <w:tcPr>
            <w:tcW w:type="dxa" w:w="2088"/>
          </w:tcPr>
          <w:p>
            <w:pPr>
              <w:spacing w:line="240" w:lineRule="auto" w:before="40" w:after="40"/>
            </w:pPr>
            <w:r>
              <w:rPr>
                <w:sz w:val="20"/>
              </w:rPr>
              <w:t>Average inventory ÷ (Cost of goods sold ÷ 365)</w:t>
            </w:r>
          </w:p>
        </w:tc>
        <w:tc>
          <w:tcPr>
            <w:tcW w:type="dxa" w:w="2664"/>
          </w:tcPr>
          <w:p>
            <w:pPr>
              <w:spacing w:line="240" w:lineRule="auto" w:before="40" w:after="40"/>
            </w:pPr>
            <w:r>
              <w:rPr>
                <w:b w:val="0"/>
                <w:sz w:val="20"/>
              </w:rPr>
              <w:t>$70,000 ÷ ($350,000 ÷ 365)</w:t>
              <w:br/>
            </w:r>
            <w:r>
              <w:rPr>
                <w:b w:val="0"/>
                <w:sz w:val="20"/>
              </w:rPr>
              <w:t>= $70,000 ÷ $958.90</w:t>
              <w:br/>
            </w:r>
            <w:r>
              <w:rPr>
                <w:b/>
                <w:sz w:val="20"/>
              </w:rPr>
              <w:t>= 73.00 days</w:t>
            </w:r>
          </w:p>
        </w:tc>
        <w:tc>
          <w:tcPr>
            <w:tcW w:type="dxa" w:w="2664"/>
          </w:tcPr>
          <w:p>
            <w:pPr>
              <w:spacing w:line="240" w:lineRule="auto" w:before="40" w:after="40"/>
            </w:pPr>
            <w:r>
              <w:rPr>
                <w:b w:val="0"/>
                <w:sz w:val="20"/>
              </w:rPr>
              <w:t>$75,000 ÷ ($400,000 ÷ 365)</w:t>
              <w:br/>
            </w:r>
            <w:r>
              <w:rPr>
                <w:b w:val="0"/>
                <w:sz w:val="20"/>
              </w:rPr>
              <w:t>= $75,000 ÷ $1,095.89</w:t>
              <w:br/>
            </w:r>
            <w:r>
              <w:rPr>
                <w:b/>
                <w:sz w:val="20"/>
              </w:rPr>
              <w:t>= 68.44 days</w:t>
            </w:r>
          </w:p>
        </w:tc>
      </w:tr>
    </w:tbl>
    <w:p>
      <w:r>
        <w:rPr>
          <w:i/>
        </w:rPr>
        <w:t xml:space="preserve">Note. </w:t>
      </w:r>
      <w:r>
        <w:t>Net sales are treated as net credit sales, as labeled in the income statement. Average balances use the 2022 and 2023 year-end figures. No 2021 balance sheet was provided, so the 2022 ratios use year-end 2022 balances. Days are based on 365 days, with turnover ratios carried to four decimal places. Using year-end balances in both years gives 2023 receivables turnover of 6.00 (60.83 days) and inventory turnover of 5.00 (73.00 days).</w:t>
      </w:r>
    </w:p>
    <w:p>
      <w:pPr>
        <w:keepNext/>
        <w:jc w:val="center"/>
      </w:pPr>
      <w:r>
        <w:rPr>
          <w:b/>
          <w:i w:val="0"/>
        </w:rPr>
        <w:t>Interpretation of Urban Path Co.'s Liquidity and Operational Efficiency</w:t>
      </w:r>
    </w:p>
    <w:p>
      <w:pPr>
        <w:ind w:firstLine="720"/>
      </w:pPr>
      <w:r>
        <w:rPr>
          <w:b w:val="0"/>
          <w:i w:val="0"/>
        </w:rPr>
        <w:t>Urban Path Co. collected its receivables faster in 2023 (see Table 1). Turnover rose from 5.56 to 6.32 times, which cut the collection period from 65.70 to 57.79 days, roughly eight days sooner. Faster collection brings cash back earlier, so liquidity improves and the company can reinvest sooner (Franklin et al., 2022, Section 9.3). Cash doubling from $10,000 to $20,000 fits that picture. Sales grew 20% while receivables grew only about 11%, so the extra sales did not pile up as unpaid invoices. A very high turnover can also mean credit terms are so tight that qualified customers go elsewhere (Franklin et al., 2022, Section 9.3), but a 20% sales increase suggests that isn't happening here.</w:t>
      </w:r>
    </w:p>
    <w:p>
      <w:pPr>
        <w:ind w:firstLine="720"/>
      </w:pPr>
      <w:r>
        <w:rPr>
          <w:b w:val="0"/>
          <w:i w:val="0"/>
        </w:rPr>
        <w:t>Inventory efficiency tells a quieter story. Turnover moved from 5.00 to 5.33 times, and days' sales in inventory dropped from 73.00 to 68.44, so stock sat about 4.6 fewer days before selling. I'd be careful about calling that a real gain, though. No 2021 balance was given, so 2022 relies on a year-end figure while 2023 uses an average. On year-end balances for both years, turnover is 5.00 each time, because inventory and cost of goods sold both rose about 14%. The fairer conclusion is that inventory is keeping pace with sales. Balance matters here because too little stock costs sales, while too much ties up resources and adds storage costs (Franklin et al., 2022, Section 10.5).</w:t>
      </w:r>
    </w:p>
    <w:p>
      <w:pPr>
        <w:ind w:firstLine="720"/>
      </w:pPr>
      <w:r>
        <w:rPr>
          <w:b w:val="0"/>
          <w:i w:val="0"/>
        </w:rPr>
        <w:t>Taken together, the ratios show a shorter wait between buying inventory and collecting cash. Adding the two day counts gives an operating cycle of about 139 days in 2022 and 126 days in 2023, and a shorter cycle ties up less cash in operations (Wall Street Prep, n.d.). Most of that improvement comes from receivables, so I read liquidity as improving and operational efficiency as steady to slightly better. That direction matters, since a study of 1,009 large Belgian firms suggests managers can raise profitability by cutting the days tied up in receivables and inventories (Deloof, 2003). Ratios also mean more against competitors and industry standards (Franklin et al., 2022, Sections 9.3 and 10.5). None were provided, so I can't say whether 58 days to collect and 68 days to sell inventory are good.</w:t>
      </w:r>
      <w:r>
        <w:br w:type="page"/>
      </w:r>
    </w:p>
    <w:p>
      <w:pPr>
        <w:jc w:val="center"/>
      </w:pPr>
      <w:r>
        <w:rPr>
          <w:b/>
          <w:i w:val="0"/>
        </w:rPr>
        <w:t>References</w:t>
      </w:r>
    </w:p>
    <w:p>
      <w:pPr>
        <w:ind w:left="720" w:hanging="720"/>
      </w:pPr>
      <w:r>
        <w:rPr>
          <w:i w:val="0"/>
        </w:rPr>
        <w:t xml:space="preserve">Deloof, M. (2003). Does working capital management affect profitability of Belgian firms? </w:t>
      </w:r>
      <w:r>
        <w:rPr>
          <w:i/>
        </w:rPr>
        <w:t>Journal of Business Finance &amp; Accounting, 30</w:t>
      </w:r>
      <w:r>
        <w:rPr>
          <w:i w:val="0"/>
        </w:rPr>
        <w:t xml:space="preserve">(3–4), 573–588. </w:t>
      </w:r>
      <w:hyperlink r:id="rId10">
        <w:r>
          <w:rPr>
            <w:color w:val="0563C1"/>
            <w:u w:val="single"/>
          </w:rPr>
          <w:t xml:space="preserve">https://doi.org/10.1111/1468-5957.00008</w:t>
        </w:r>
      </w:hyperlink>
    </w:p>
    <w:p>
      <w:pPr>
        <w:ind w:left="720" w:hanging="720"/>
      </w:pPr>
      <w:r>
        <w:rPr>
          <w:i w:val="0"/>
        </w:rPr>
        <w:t xml:space="preserve">Franklin, M., Graybeal, P., Cooper, D., Bean, L., Burt, I., Carr, S., Collins, D. T., Coram, S., Creech, K., Czyzewski, A., Gauci, M., Greenman, C., Haselkorn, M., Irujo, C., Johnson, C., Khanlarian, C., Lukshaitis, T., Luna, D., Nantz, B., … Woolley, D. (2022). </w:t>
      </w:r>
      <w:r>
        <w:rPr>
          <w:i/>
        </w:rPr>
        <w:t>Principles of accounting, volume 1: Financial accounting</w:t>
      </w:r>
      <w:r>
        <w:rPr>
          <w:i w:val="0"/>
        </w:rPr>
        <w:t xml:space="preserve">. OpenStax. </w:t>
      </w:r>
      <w:hyperlink r:id="rId11">
        <w:r>
          <w:rPr>
            <w:color w:val="0563C1"/>
            <w:u w:val="single"/>
          </w:rPr>
          <w:t xml:space="preserve">https://openstax.org/details/books/principles-financial-accounting</w:t>
        </w:r>
      </w:hyperlink>
    </w:p>
    <w:p>
      <w:pPr>
        <w:ind w:left="720" w:hanging="720"/>
      </w:pPr>
      <w:r>
        <w:rPr>
          <w:i w:val="0"/>
        </w:rPr>
        <w:t xml:space="preserve">Wall Street Prep. (n.d.). </w:t>
      </w:r>
      <w:r>
        <w:rPr>
          <w:i/>
        </w:rPr>
        <w:t>Operating cycle</w:t>
      </w:r>
      <w:r>
        <w:rPr>
          <w:i w:val="0"/>
        </w:rPr>
        <w:t xml:space="preserve">. </w:t>
      </w:r>
      <w:hyperlink r:id="rId12">
        <w:r>
          <w:rPr>
            <w:color w:val="0563C1"/>
            <w:u w:val="single"/>
          </w:rPr>
          <w:t xml:space="preserve">https://www.wallstreetprep.com/knowledge/operating-cycle/</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r>
    <w:r>
      <w:instrText xml:space="preserve">PAGE</w:instrText>
    </w:r>
    <w:r>
      <w:fldChar w:fldCharType="separate"/>
    </w:r>
    <w: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doi.org/10.1111/1468-5957.00008" TargetMode="External"/><Relationship Id="rId11" Type="http://schemas.openxmlformats.org/officeDocument/2006/relationships/hyperlink" Target="https://openstax.org/details/books/principles-financial-accounting" TargetMode="External"/><Relationship Id="rId12" Type="http://schemas.openxmlformats.org/officeDocument/2006/relationships/hyperlink" Target="https://www.wallstreetprep.com/knowledge/operating-cy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4</Pages>
  <Words>710</Words>
  <Characters>3795</Characters>
  <Application>Microsoft Office Word</Application>
  <DocSecurity>0</DocSecurity>
  <Lines>80</Lines>
  <Paragraphs>39</Paragraphs>
  <ScaleCrop>false</ScaleCrop>
  <Company/>
  <LinksUpToDate>false</LinksUpToDate>
  <CharactersWithSpaces>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Binte Shahriar</dc:creator>
  <cp:keywords/>
  <dc:description/>
  <cp:lastModifiedBy>Saira Binte Shahriar</cp:lastModifiedBy>
  <cp:revision>4</cp:revision>
  <dcterms:created xsi:type="dcterms:W3CDTF">2026-10-07T19:15:00Z</dcterms:created>
  <dcterms:modified xsi:type="dcterms:W3CDTF">2026-10-07T19:15:00Z</dcterms:modified>
  <cp:category/>
</cp:coreProperties>
</file>