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line="480" w:lineRule="auto" w:before="2160" w:after="0"/>
        <w:jc w:val="center"/>
      </w:pPr>
      <w:r>
        <w:rPr>
          <w:rFonts w:ascii="Times New Roman" w:hAnsi="Times New Roman" w:eastAsia="Times New Roman" w:cs="Times New Roman"/>
          <w:b/>
          <w:i w:val="0"/>
          <w:sz w:val="24"/>
        </w:rPr>
        <w:t>AI Coding Assistants and CS1 Learning Outcomes: A Proposed Follow-Up Study</w:t>
      </w:r>
    </w:p>
    <w:p>
      <w:pPr>
        <w:keepNext w:val="0"/>
        <w:widowControl/>
        <w:spacing w:line="480" w:lineRule="auto" w:before="0" w:after="0"/>
        <w:jc w:val="center"/>
      </w:pPr>
      <w:r>
        <w:rPr>
          <w:rFonts w:ascii="Times New Roman" w:hAnsi="Times New Roman" w:eastAsia="Times New Roman" w:cs="Times New Roman"/>
          <w:sz w:val="24"/>
        </w:rPr>
        <w:t>S M Wasir Jayed Rafi</w:t>
      </w:r>
    </w:p>
    <w:p>
      <w:pPr>
        <w:keepNext w:val="0"/>
        <w:widowControl/>
        <w:spacing w:line="480" w:lineRule="auto" w:before="0" w:after="0"/>
        <w:jc w:val="center"/>
      </w:pPr>
      <w:r>
        <w:rPr>
          <w:rFonts w:ascii="Times New Roman" w:hAnsi="Times New Roman" w:eastAsia="Times New Roman" w:cs="Times New Roman"/>
          <w:sz w:val="24"/>
        </w:rPr>
        <w:t>University of the People</w:t>
      </w:r>
    </w:p>
    <w:p>
      <w:pPr>
        <w:keepNext w:val="0"/>
        <w:widowControl/>
        <w:spacing w:line="480" w:lineRule="auto" w:before="0" w:after="0"/>
        <w:jc w:val="center"/>
      </w:pPr>
      <w:r>
        <w:rPr>
          <w:rFonts w:ascii="Times New Roman" w:hAnsi="Times New Roman" w:eastAsia="Times New Roman" w:cs="Times New Roman"/>
          <w:sz w:val="24"/>
        </w:rPr>
        <w:t>ENGL 1102-01: English Composition 2</w:t>
      </w:r>
    </w:p>
    <w:p>
      <w:pPr>
        <w:keepNext w:val="0"/>
        <w:widowControl/>
        <w:spacing w:line="480" w:lineRule="auto" w:before="0" w:after="0"/>
        <w:jc w:val="center"/>
      </w:pPr>
      <w:r>
        <w:rPr>
          <w:rFonts w:ascii="Times New Roman" w:hAnsi="Times New Roman" w:eastAsia="Times New Roman" w:cs="Times New Roman"/>
          <w:sz w:val="24"/>
        </w:rPr>
        <w:t>Aparna Rajith</w:t>
      </w:r>
    </w:p>
    <w:p>
      <w:pPr>
        <w:keepNext w:val="0"/>
        <w:widowControl/>
        <w:spacing w:line="480" w:lineRule="auto" w:before="0" w:after="0"/>
        <w:jc w:val="center"/>
      </w:pPr>
      <w:r>
        <w:rPr>
          <w:rFonts w:ascii="Times New Roman" w:hAnsi="Times New Roman" w:eastAsia="Times New Roman" w:cs="Times New Roman"/>
          <w:sz w:val="24"/>
        </w:rPr>
        <w:t>October 28, 2026</w:t>
      </w:r>
    </w:p>
    <w:p>
      <w:pPr>
        <w:pStyle w:val="Heading1"/>
        <w:keepNext/>
        <w:pageBreakBefore/>
        <w:widowControl/>
        <w:spacing w:line="480" w:lineRule="auto" w:before="0" w:after="0"/>
        <w:jc w:val="center"/>
      </w:pPr>
      <w:r>
        <w:rPr>
          <w:rFonts w:ascii="Times New Roman" w:hAnsi="Times New Roman" w:eastAsia="Times New Roman" w:cs="Times New Roman"/>
          <w:b/>
          <w:sz w:val="24"/>
        </w:rPr>
        <w:t>Abstract</w:t>
      </w:r>
    </w:p>
    <w:p>
      <w:pPr>
        <w:keepNext w:val="0"/>
        <w:widowControl/>
        <w:spacing w:line="480" w:lineRule="auto" w:before="0" w:after="0"/>
        <w:ind w:firstLine="0"/>
        <w:jc w:val="left"/>
      </w:pPr>
      <w:r>
        <w:rPr>
          <w:rFonts w:ascii="Times New Roman" w:hAnsi="Times New Roman" w:eastAsia="Times New Roman" w:cs="Times New Roman"/>
          <w:b w:val="0"/>
          <w:i w:val="0"/>
          <w:sz w:val="24"/>
        </w:rPr>
        <w:t>Artificial intelligence (AI) coding assistants such as GitHub Copilot are now common in first programming courses (CS1), and early studies show that students who use them finish more work and often score higher during the course. These studies do not show whether the advantage survives once the assistant is gone, or whether students’ confidence in their own learning matches what they can do alone. This paper proposes a follow-up study built around that gap. Three objectives guide it: to test whether in-course advantages persist on an AI-free assessment one semester later, to compare conceptual understanding between assisted and unassisted students, and to determine whether self-rated learning predicts later unaided performance. An explanatory sequential mixed-methods design is planned. About 30 students per group would take an identical AI-free concept check, with prior programming experience measured at baseline, and interviews with six to eight students would help explain the scores. No data have been collected, so the paper discusses what the existing evidence shows and what each possible outcome would mean. If the advantage fades, courses may need to pair AI use with unaided practice. If it lasts, instructors can adopt these tools with more confidence.</w:t>
      </w:r>
    </w:p>
    <w:p>
      <w:pPr>
        <w:pStyle w:val="Heading1"/>
        <w:keepNext/>
        <w:pageBreakBefore/>
        <w:widowControl/>
        <w:spacing w:line="480" w:lineRule="auto" w:before="0" w:after="0"/>
        <w:jc w:val="center"/>
      </w:pPr>
      <w:r>
        <w:rPr>
          <w:rFonts w:ascii="Times New Roman" w:hAnsi="Times New Roman" w:eastAsia="Times New Roman" w:cs="Times New Roman"/>
          <w:b/>
          <w:sz w:val="24"/>
        </w:rPr>
        <w:t>AI Coding Assistants and CS1 Learning Outcomes: A Proposed Follow-Up Study</w:t>
      </w:r>
    </w:p>
    <w:p>
      <w:pPr>
        <w:pStyle w:val="Heading1"/>
        <w:keepNext/>
        <w:pageBreakBefore w:val="0"/>
        <w:widowControl/>
        <w:spacing w:line="480" w:lineRule="auto" w:before="0" w:after="0"/>
        <w:jc w:val="center"/>
      </w:pPr>
      <w:r>
        <w:rPr>
          <w:rFonts w:ascii="Times New Roman" w:hAnsi="Times New Roman" w:eastAsia="Times New Roman" w:cs="Times New Roman"/>
          <w:b/>
          <w:sz w:val="24"/>
        </w:rPr>
        <w:t>Introduction</w:t>
      </w:r>
    </w:p>
    <w:p>
      <w:pPr>
        <w:keepNext w:val="0"/>
        <w:widowControl/>
        <w:spacing w:line="480" w:lineRule="auto" w:before="0" w:after="0"/>
        <w:ind w:firstLine="720"/>
        <w:jc w:val="left"/>
      </w:pPr>
      <w:r>
        <w:rPr>
          <w:rFonts w:ascii="Times New Roman" w:hAnsi="Times New Roman" w:eastAsia="Times New Roman" w:cs="Times New Roman"/>
          <w:b w:val="0"/>
          <w:i w:val="0"/>
          <w:sz w:val="24"/>
        </w:rPr>
        <w:t>Many people learning to program begin the same way, with a blank editor and an assignment due soon. An artificial intelligence (AI) coding assistant such as GitHub Copilot can turn a short comment into a working function in seconds. I am still learning to program, and I worry that code I finish quickly with that kind of help is not always code I could write again on my own. That doubt is where this paper starts.</w:t>
      </w:r>
    </w:p>
    <w:p>
      <w:pPr>
        <w:keepNext w:val="0"/>
        <w:widowControl/>
        <w:spacing w:line="480" w:lineRule="auto" w:before="0" w:after="0"/>
        <w:ind w:firstLine="720"/>
        <w:jc w:val="left"/>
      </w:pPr>
      <w:r>
        <w:rPr>
          <w:rFonts w:ascii="Times New Roman" w:hAnsi="Times New Roman" w:eastAsia="Times New Roman" w:cs="Times New Roman"/>
          <w:b w:val="0"/>
          <w:i w:val="0"/>
          <w:sz w:val="24"/>
        </w:rPr>
        <w:t>The question reaches beyond one student. Instructors of first programming courses (CS1) are deciding whether to allow, limit, or build lessons around these tools, and most of the evidence available to them covers only the length of the course. Serdikoff (2021) recommends that a report open by introducing the research question and explaining why it is interesting (pp. 754–755). The question here is whether students who learn CS1 with an AI assistant keep any advantage after the assistant is taken away.</w:t>
      </w:r>
    </w:p>
    <w:p>
      <w:pPr>
        <w:keepNext w:val="0"/>
        <w:widowControl/>
        <w:spacing w:line="480" w:lineRule="auto" w:before="0" w:after="0"/>
        <w:ind w:firstLine="720"/>
        <w:jc w:val="left"/>
      </w:pPr>
      <w:r>
        <w:rPr>
          <w:rFonts w:ascii="Times New Roman" w:hAnsi="Times New Roman" w:eastAsia="Times New Roman" w:cs="Times New Roman"/>
          <w:b w:val="0"/>
          <w:i w:val="0"/>
          <w:sz w:val="24"/>
        </w:rPr>
        <w:t>This paper brings together my work from Units 2 through 7 in one report.</w:t>
      </w:r>
    </w:p>
    <w:p>
      <w:pPr>
        <w:pStyle w:val="Heading1"/>
        <w:keepNext/>
        <w:pageBreakBefore w:val="0"/>
        <w:widowControl/>
        <w:spacing w:line="480" w:lineRule="auto" w:before="0" w:after="0"/>
        <w:jc w:val="center"/>
      </w:pPr>
      <w:r>
        <w:rPr>
          <w:rFonts w:ascii="Times New Roman" w:hAnsi="Times New Roman" w:eastAsia="Times New Roman" w:cs="Times New Roman"/>
          <w:b/>
          <w:sz w:val="24"/>
        </w:rPr>
        <w:t>Background</w:t>
      </w:r>
    </w:p>
    <w:p>
      <w:pPr>
        <w:keepNext w:val="0"/>
        <w:widowControl/>
        <w:spacing w:line="480" w:lineRule="auto" w:before="0" w:after="0"/>
        <w:ind w:firstLine="720"/>
        <w:jc w:val="left"/>
      </w:pPr>
      <w:r>
        <w:rPr>
          <w:rFonts w:ascii="Times New Roman" w:hAnsi="Times New Roman" w:eastAsia="Times New Roman" w:cs="Times New Roman"/>
          <w:b w:val="0"/>
          <w:i w:val="0"/>
          <w:sz w:val="24"/>
        </w:rPr>
        <w:t>Novices can now use free tools that generate source code from natural-language and code-based prompts and suggest solutions to exercises and assignments (Prather et al., 2024). Research on the effects of these tools has trailed their adoption. Kazemitabaar et al. (2023) began from the worry that “over-reliance might negatively impact learning and retention” (Abstract). In their experiment with 69 novices aged 10 to 17, however, learners with an AI code generator completed more code-writing tasks and scored higher, without doing worse on manual code-modification tasks.</w:t>
      </w:r>
    </w:p>
    <w:p>
      <w:pPr>
        <w:keepNext w:val="0"/>
        <w:widowControl/>
        <w:spacing w:line="480" w:lineRule="auto" w:before="0" w:after="0"/>
        <w:ind w:firstLine="720"/>
        <w:jc w:val="left"/>
      </w:pPr>
      <w:r>
        <w:rPr>
          <w:rFonts w:ascii="Times New Roman" w:hAnsi="Times New Roman" w:eastAsia="Times New Roman" w:cs="Times New Roman"/>
          <w:b w:val="0"/>
          <w:i w:val="0"/>
          <w:sz w:val="24"/>
        </w:rPr>
        <w:t>Findings from outside the classroom are less reassuring. Shen and Tamkin (2026) ran randomized experiments in which mostly professional programmers learned a new asynchronous programming library with and without AI. AI use lowered scores by 17% on a quiz covering conceptual understanding, code reading, and debugging, and it did not significantly speed up the work on average. Three cautions apply. The participants were not CS1 students, skill was measured over about one hour, and the study was posted as an arXiv preprint rather than a journal article. One author also lists Anthropic, an AI developer, as an affiliation. This paper therefore treats the study with more caution than the peer-reviewed sources, although it suggests that how a student uses the tool may matter as much as whether the student uses it.</w:t>
      </w:r>
    </w:p>
    <w:p>
      <w:pPr>
        <w:keepNext w:val="0"/>
        <w:widowControl/>
        <w:spacing w:line="480" w:lineRule="auto" w:before="0" w:after="0"/>
        <w:ind w:firstLine="720"/>
        <w:jc w:val="left"/>
      </w:pPr>
      <w:r>
        <w:rPr>
          <w:rFonts w:ascii="Times New Roman" w:hAnsi="Times New Roman" w:eastAsia="Times New Roman" w:cs="Times New Roman"/>
          <w:b w:val="0"/>
          <w:i w:val="0"/>
          <w:sz w:val="24"/>
        </w:rPr>
        <w:t>CS1 is a sensible place to look because later courses assume its fundamentals, and assisted work can look the same as independent work on a graded assignment.</w:t>
      </w:r>
    </w:p>
    <w:p>
      <w:pPr>
        <w:pStyle w:val="Heading1"/>
        <w:keepNext/>
        <w:pageBreakBefore w:val="0"/>
        <w:widowControl/>
        <w:spacing w:line="480" w:lineRule="auto" w:before="0" w:after="0"/>
        <w:jc w:val="center"/>
      </w:pPr>
      <w:r>
        <w:rPr>
          <w:rFonts w:ascii="Times New Roman" w:hAnsi="Times New Roman" w:eastAsia="Times New Roman" w:cs="Times New Roman"/>
          <w:b/>
          <w:sz w:val="24"/>
        </w:rPr>
        <w:t>Problem Statement</w:t>
      </w:r>
    </w:p>
    <w:p>
      <w:pPr>
        <w:keepNext w:val="0"/>
        <w:widowControl/>
        <w:spacing w:line="480" w:lineRule="auto" w:before="0" w:after="0"/>
        <w:ind w:firstLine="720"/>
        <w:jc w:val="left"/>
      </w:pPr>
      <w:r>
        <w:rPr>
          <w:rFonts w:ascii="Times New Roman" w:hAnsi="Times New Roman" w:eastAsia="Times New Roman" w:cs="Times New Roman"/>
          <w:b w:val="0"/>
          <w:i w:val="0"/>
          <w:sz w:val="24"/>
        </w:rPr>
        <w:t>Programming ability is usually judged by what a student produces in a course, and AI assistance makes that judgment less reliable. The studies reviewed in this paper show why. In the meta-analysis by Alanazi et al. (2025), which pooled 35 controlled studies from 2020 to 2024, AI users outperformed nonusers on performance scores, yet the tools gave no statistically significant advantage in “learning success or ease of understanding” (Abstract). Albadarin et al. (2026) reported that CS1 students taught debugging with a generative AI tool and those taught traditionally showed different patterns of critical thinking, with the traditionally taught group ahead on some of the more basic skills.</w:t>
      </w:r>
    </w:p>
    <w:p>
      <w:pPr>
        <w:keepNext w:val="0"/>
        <w:widowControl/>
        <w:spacing w:line="480" w:lineRule="auto" w:before="0" w:after="0"/>
        <w:ind w:firstLine="720"/>
        <w:jc w:val="left"/>
      </w:pPr>
      <w:r>
        <w:rPr>
          <w:rFonts w:ascii="Times New Roman" w:hAnsi="Times New Roman" w:eastAsia="Times New Roman" w:cs="Times New Roman"/>
          <w:b w:val="0"/>
          <w:i w:val="0"/>
          <w:sz w:val="24"/>
        </w:rPr>
        <w:t>Where these studies stop is just as telling. I read Kazemitabaar et al. (2023) and Prather et al. (2024) in full. The first followed learners for about three weeks and tested retention one week later, the longest follow-up I could confirm, and the second observed each of 19 students in one 30-minute session. I could not access the full texts of the other three, and their abstracts describe measurement during the course or self-reported perceptions without mentioning a delayed measure. So far as I could confirm, none of the five checks what students can do unaided after the course. A second unknown is how accurate students’ view of their own learning is. Alanazi et al. (2025) describe student perceptions as “overwhelmingly positive” (Abstract), and Alquran and Banitaan (2026) found generally positive perceptions of learning, but a perception is not a measurement of what someone can do alone.</w:t>
      </w:r>
    </w:p>
    <w:p>
      <w:pPr>
        <w:keepNext w:val="0"/>
        <w:widowControl/>
        <w:spacing w:line="480" w:lineRule="auto" w:before="0" w:after="0"/>
        <w:ind w:firstLine="720"/>
        <w:jc w:val="left"/>
      </w:pPr>
      <w:r>
        <w:rPr>
          <w:rFonts w:ascii="Times New Roman" w:hAnsi="Times New Roman" w:eastAsia="Times New Roman" w:cs="Times New Roman"/>
          <w:b w:val="0"/>
          <w:i w:val="0"/>
          <w:sz w:val="24"/>
        </w:rPr>
        <w:t>This matters beyond research. A problem statement, according to National University (n.d.-a), should describe a real problem, explain what happens if it goes unsolved, and identify what is not yet known. The real problem here is that grades, course placement, and hiring decisions may treat assisted performance as independent ability, and students may skip the unaided practice that builds it. What is not known is whether short-term gains in AI-assisted CS1 turn into lasting, independent skill.</w:t>
      </w:r>
    </w:p>
    <w:p>
      <w:pPr>
        <w:pStyle w:val="Heading1"/>
        <w:keepNext/>
        <w:pageBreakBefore w:val="0"/>
        <w:widowControl/>
        <w:spacing w:line="480" w:lineRule="auto" w:before="0" w:after="0"/>
        <w:jc w:val="center"/>
      </w:pPr>
      <w:r>
        <w:rPr>
          <w:rFonts w:ascii="Times New Roman" w:hAnsi="Times New Roman" w:eastAsia="Times New Roman" w:cs="Times New Roman"/>
          <w:b/>
          <w:sz w:val="24"/>
        </w:rPr>
        <w:t>Research Objectives and Questions</w:t>
      </w:r>
    </w:p>
    <w:p>
      <w:pPr>
        <w:keepNext w:val="0"/>
        <w:widowControl/>
        <w:spacing w:line="480" w:lineRule="auto" w:before="0" w:after="0"/>
        <w:ind w:firstLine="720"/>
        <w:jc w:val="left"/>
      </w:pPr>
      <w:r>
        <w:rPr>
          <w:rFonts w:ascii="Times New Roman" w:hAnsi="Times New Roman" w:eastAsia="Times New Roman" w:cs="Times New Roman"/>
          <w:b w:val="0"/>
          <w:i w:val="0"/>
          <w:sz w:val="24"/>
        </w:rPr>
        <w:t>Ryan (2023) recommends setting one broad aim and then breaking it into a limited number of specific objectives. The aim of this study is to establish whether the early benefits of AI-assisted CS1 instruction become lasting programming skill. Three objectives support it, each tied to a follow-up one semester after the course:</w:t>
      </w:r>
    </w:p>
    <w:p>
      <w:pPr>
        <w:keepNext w:val="0"/>
        <w:widowControl/>
        <w:tabs>
          <w:tab w:pos="1440" w:val="left"/>
        </w:tabs>
        <w:spacing w:line="480" w:lineRule="auto" w:before="0" w:after="0"/>
        <w:ind w:left="1440" w:hanging="720"/>
        <w:jc w:val="left"/>
      </w:pPr>
      <w:r>
        <w:rPr>
          <w:rFonts w:ascii="Times New Roman" w:hAnsi="Times New Roman" w:eastAsia="Times New Roman" w:cs="Times New Roman"/>
          <w:sz w:val="24"/>
        </w:rPr>
        <w:t>1.</w:t>
        <w:tab/>
      </w:r>
      <w:r>
        <w:rPr>
          <w:rFonts w:ascii="Times New Roman" w:hAnsi="Times New Roman" w:eastAsia="Times New Roman" w:cs="Times New Roman"/>
          <w:b w:val="0"/>
          <w:i w:val="0"/>
          <w:sz w:val="24"/>
        </w:rPr>
        <w:t>Evaluate whether the performance advantages AI-assisted CS1 students show during the course persist on an AI-free assessment taken one semester later.</w:t>
      </w:r>
    </w:p>
    <w:p>
      <w:pPr>
        <w:keepNext w:val="0"/>
        <w:widowControl/>
        <w:tabs>
          <w:tab w:pos="1440" w:val="left"/>
        </w:tabs>
        <w:spacing w:line="480" w:lineRule="auto" w:before="0" w:after="0"/>
        <w:ind w:left="1440" w:hanging="720"/>
        <w:jc w:val="left"/>
      </w:pPr>
      <w:r>
        <w:rPr>
          <w:rFonts w:ascii="Times New Roman" w:hAnsi="Times New Roman" w:eastAsia="Times New Roman" w:cs="Times New Roman"/>
          <w:sz w:val="24"/>
        </w:rPr>
        <w:t>2.</w:t>
        <w:tab/>
      </w:r>
      <w:r>
        <w:rPr>
          <w:rFonts w:ascii="Times New Roman" w:hAnsi="Times New Roman" w:eastAsia="Times New Roman" w:cs="Times New Roman"/>
          <w:b w:val="0"/>
          <w:i w:val="0"/>
          <w:sz w:val="24"/>
        </w:rPr>
        <w:t>Compare conceptual understanding, on that same assessment, between students who used an AI coding assistant on at least three graded assignments (the AI-assisted group) and students who did not (the unassisted group).</w:t>
      </w:r>
    </w:p>
    <w:p>
      <w:pPr>
        <w:keepNext w:val="0"/>
        <w:widowControl/>
        <w:tabs>
          <w:tab w:pos="1440" w:val="left"/>
        </w:tabs>
        <w:spacing w:line="480" w:lineRule="auto" w:before="0" w:after="0"/>
        <w:ind w:left="1440" w:hanging="720"/>
        <w:jc w:val="left"/>
      </w:pPr>
      <w:r>
        <w:rPr>
          <w:rFonts w:ascii="Times New Roman" w:hAnsi="Times New Roman" w:eastAsia="Times New Roman" w:cs="Times New Roman"/>
          <w:sz w:val="24"/>
        </w:rPr>
        <w:t>3.</w:t>
        <w:tab/>
      </w:r>
      <w:r>
        <w:rPr>
          <w:rFonts w:ascii="Times New Roman" w:hAnsi="Times New Roman" w:eastAsia="Times New Roman" w:cs="Times New Roman"/>
          <w:b w:val="0"/>
          <w:i w:val="0"/>
          <w:sz w:val="24"/>
        </w:rPr>
        <w:t>Determine whether students’ end-of-course ratings of their own learning predict how they perform, unaided, one semester later.</w:t>
      </w:r>
    </w:p>
    <w:p>
      <w:pPr>
        <w:keepNext w:val="0"/>
        <w:widowControl/>
        <w:spacing w:line="480" w:lineRule="auto" w:before="0" w:after="0"/>
        <w:ind w:firstLine="720"/>
        <w:jc w:val="left"/>
      </w:pPr>
      <w:r>
        <w:rPr>
          <w:rFonts w:ascii="Times New Roman" w:hAnsi="Times New Roman" w:eastAsia="Times New Roman" w:cs="Times New Roman"/>
          <w:b w:val="0"/>
          <w:i w:val="0"/>
          <w:sz w:val="24"/>
        </w:rPr>
        <w:t>A good research question, according to Serdikoff (2021), has an uncertain answer, fills a gap in the literature, carries practical implications, and can feasibly be answered (pp. 141–143). Question numbers match objective numbers:</w:t>
      </w:r>
    </w:p>
    <w:p>
      <w:pPr>
        <w:keepNext w:val="0"/>
        <w:widowControl/>
        <w:tabs>
          <w:tab w:pos="1440" w:val="left"/>
        </w:tabs>
        <w:spacing w:line="480" w:lineRule="auto" w:before="0" w:after="0"/>
        <w:ind w:left="1440" w:hanging="720"/>
        <w:jc w:val="left"/>
      </w:pPr>
      <w:r>
        <w:rPr>
          <w:rFonts w:ascii="Times New Roman" w:hAnsi="Times New Roman" w:eastAsia="Times New Roman" w:cs="Times New Roman"/>
          <w:sz w:val="24"/>
        </w:rPr>
        <w:t>1.</w:t>
        <w:tab/>
      </w:r>
      <w:r>
        <w:rPr>
          <w:rFonts w:ascii="Times New Roman" w:hAnsi="Times New Roman" w:eastAsia="Times New Roman" w:cs="Times New Roman"/>
          <w:b w:val="0"/>
          <w:i w:val="0"/>
          <w:sz w:val="24"/>
        </w:rPr>
        <w:t>To what extent do in-course performance advantages persist on an unaided assessment one semester after the course ends?</w:t>
      </w:r>
    </w:p>
    <w:p>
      <w:pPr>
        <w:keepNext w:val="0"/>
        <w:widowControl/>
        <w:tabs>
          <w:tab w:pos="1440" w:val="left"/>
        </w:tabs>
        <w:spacing w:line="480" w:lineRule="auto" w:before="0" w:after="0"/>
        <w:ind w:left="1440" w:hanging="720"/>
        <w:jc w:val="left"/>
      </w:pPr>
      <w:r>
        <w:rPr>
          <w:rFonts w:ascii="Times New Roman" w:hAnsi="Times New Roman" w:eastAsia="Times New Roman" w:cs="Times New Roman"/>
          <w:sz w:val="24"/>
        </w:rPr>
        <w:t>2.</w:t>
        <w:tab/>
      </w:r>
      <w:r>
        <w:rPr>
          <w:rFonts w:ascii="Times New Roman" w:hAnsi="Times New Roman" w:eastAsia="Times New Roman" w:cs="Times New Roman"/>
          <w:b w:val="0"/>
          <w:i w:val="0"/>
          <w:sz w:val="24"/>
        </w:rPr>
        <w:t>How does conceptual understanding on that delayed, AI-free assessment differ between the AI-assisted and unassisted groups?</w:t>
      </w:r>
    </w:p>
    <w:p>
      <w:pPr>
        <w:keepNext w:val="0"/>
        <w:widowControl/>
        <w:tabs>
          <w:tab w:pos="1440" w:val="left"/>
        </w:tabs>
        <w:spacing w:line="480" w:lineRule="auto" w:before="0" w:after="0"/>
        <w:ind w:left="1440" w:hanging="720"/>
        <w:jc w:val="left"/>
      </w:pPr>
      <w:r>
        <w:rPr>
          <w:rFonts w:ascii="Times New Roman" w:hAnsi="Times New Roman" w:eastAsia="Times New Roman" w:cs="Times New Roman"/>
          <w:sz w:val="24"/>
        </w:rPr>
        <w:t>3.</w:t>
        <w:tab/>
      </w:r>
      <w:r>
        <w:rPr>
          <w:rFonts w:ascii="Times New Roman" w:hAnsi="Times New Roman" w:eastAsia="Times New Roman" w:cs="Times New Roman"/>
          <w:b w:val="0"/>
          <w:i w:val="0"/>
          <w:sz w:val="24"/>
        </w:rPr>
        <w:t>How well does end-of-course self-rated learning predict unaided performance one semester later?</w:t>
      </w:r>
    </w:p>
    <w:p>
      <w:pPr>
        <w:keepNext w:val="0"/>
        <w:widowControl/>
        <w:spacing w:line="480" w:lineRule="auto" w:before="0" w:after="0"/>
        <w:ind w:firstLine="720"/>
        <w:jc w:val="left"/>
      </w:pPr>
      <w:r>
        <w:rPr>
          <w:rFonts w:ascii="Times New Roman" w:hAnsi="Times New Roman" w:eastAsia="Times New Roman" w:cs="Times New Roman"/>
          <w:b w:val="0"/>
          <w:i w:val="0"/>
          <w:sz w:val="24"/>
        </w:rPr>
        <w:t>The working hypothesis from Unit 2 stays, refined to fit this design: AI-assisted students will match or beat their peers on course grades but score lower on the delayed AI-free check.</w:t>
      </w:r>
    </w:p>
    <w:p>
      <w:pPr>
        <w:pStyle w:val="Heading1"/>
        <w:keepNext/>
        <w:pageBreakBefore w:val="0"/>
        <w:widowControl/>
        <w:spacing w:line="480" w:lineRule="auto" w:before="0" w:after="0"/>
        <w:jc w:val="center"/>
      </w:pPr>
      <w:r>
        <w:rPr>
          <w:rFonts w:ascii="Times New Roman" w:hAnsi="Times New Roman" w:eastAsia="Times New Roman" w:cs="Times New Roman"/>
          <w:b/>
          <w:sz w:val="24"/>
        </w:rPr>
        <w:t>Literature Review</w:t>
      </w:r>
    </w:p>
    <w:p>
      <w:pPr>
        <w:keepNext w:val="0"/>
        <w:widowControl/>
        <w:spacing w:line="480" w:lineRule="auto" w:before="0" w:after="0"/>
        <w:ind w:firstLine="720"/>
        <w:jc w:val="left"/>
      </w:pPr>
      <w:r>
        <w:rPr>
          <w:rFonts w:ascii="Times New Roman" w:hAnsi="Times New Roman" w:eastAsia="Times New Roman" w:cs="Times New Roman"/>
          <w:b w:val="0"/>
          <w:i w:val="0"/>
          <w:sz w:val="24"/>
        </w:rPr>
        <w:t>The five studies below were selected from a larger search and checked against the CRAAP test, which asks about currency, relevance, authority, accuracy, and purpose (George, 2025b). All five are peer-reviewed, were published in 2023 or later, and address programming education. Their designs differ, which lets the strengths of one offset the limits of another: a controlled experiment, an observational study, a quasi-experiment, a meta-analysis, and a survey. I read the full texts of the first two. For the other three, publisher restrictions limited me to the abstracts, so what follows about them is limited to what those abstracts report.</w:t>
      </w:r>
    </w:p>
    <w:p>
      <w:pPr>
        <w:keepNext w:val="0"/>
        <w:widowControl/>
        <w:spacing w:line="480" w:lineRule="auto" w:before="0" w:after="0"/>
        <w:ind w:firstLine="720"/>
        <w:jc w:val="left"/>
      </w:pPr>
      <w:r>
        <w:rPr>
          <w:rFonts w:ascii="Times New Roman" w:hAnsi="Times New Roman" w:eastAsia="Times New Roman" w:cs="Times New Roman"/>
          <w:b w:val="0"/>
          <w:i w:val="0"/>
          <w:sz w:val="24"/>
        </w:rPr>
        <w:t>Kazemitabaar et al. (2023) offer the clearest test of cause and effect among the five. Their 69 learners, all new to text-based programming, were matched in pairs on a pretest of prior knowledge in Scratch, a block-based programming environment. One learner in each pair was randomly assigned to work through 45 Python tasks over ten sessions with the Codex code generator, and the other worked without it. Posttests followed one week later. The AI group did slightly better on those posttests, although not significantly, and learners with higher Scratch pretest scores benefited significantly. Because the learners were 10 to 17 years old, the results may not carry over to college students. Prather et al. (2024) took a different route, observing 19 introductory students one at a time, in a single 30-minute session, as they worked on a typical CS1 assignment with Copilot, and then interviewing them. They describe their study as the first of its kind and note that “little is currently known about how novices interact with these tools in practice” (Abstract). Observation can show how students struggle, but it cannot show how much that struggle costs them on a test.</w:t>
      </w:r>
    </w:p>
    <w:p>
      <w:pPr>
        <w:keepNext w:val="0"/>
        <w:widowControl/>
        <w:spacing w:line="480" w:lineRule="auto" w:before="0" w:after="0"/>
        <w:ind w:firstLine="720"/>
        <w:jc w:val="left"/>
      </w:pPr>
      <w:r>
        <w:rPr>
          <w:rFonts w:ascii="Times New Roman" w:hAnsi="Times New Roman" w:eastAsia="Times New Roman" w:cs="Times New Roman"/>
          <w:b w:val="0"/>
          <w:i w:val="0"/>
          <w:sz w:val="24"/>
        </w:rPr>
        <w:t>Albadarin et al. (2026) moved the question into a real classroom. Their quasi-experiment divided 132 students in a Java-based CS1 course between debugging instruction that used a generative AI model (LLAMA) and traditional instructor-led teaching. Both groups then completed debugging tasks, a closed-book evaluation, and a program-writing task. The AI group showed stronger links between understanding code and applying solutions, while the control group scored higher on core skills with lower-level cognitive demands. The authors conclude that generative AI tools “may be associated with different patterns of critical thinking during debugging” (Abstract), with limited association to individual skills when instructional support is weak. A quasi-experimental design does not randomly assign participants, so Serdikoff’s (2021) point about nonequivalent groups applies: the groups may have differed before the course began (p. 604).</w:t>
      </w:r>
    </w:p>
    <w:p>
      <w:pPr>
        <w:keepNext w:val="0"/>
        <w:widowControl/>
        <w:spacing w:line="480" w:lineRule="auto" w:before="0" w:after="0"/>
        <w:ind w:firstLine="720"/>
        <w:jc w:val="left"/>
      </w:pPr>
      <w:r>
        <w:rPr>
          <w:rFonts w:ascii="Times New Roman" w:hAnsi="Times New Roman" w:eastAsia="Times New Roman" w:cs="Times New Roman"/>
          <w:b w:val="0"/>
          <w:i w:val="0"/>
          <w:sz w:val="24"/>
        </w:rPr>
        <w:t xml:space="preserve">At the widest angle, Alanazi et al. (2025) pooled 35 controlled studies. Their results match the short-term story: AI users outperformed nonusers, and performance scores improved (standardized mean difference [SMD] = 0.86). On whether students actually learned or understood more, the pooled effect was small and not statistically significant (SMD = 0.16, </w:t>
      </w:r>
      <w:r>
        <w:rPr>
          <w:rFonts w:ascii="Times New Roman" w:hAnsi="Times New Roman" w:eastAsia="Times New Roman" w:cs="Times New Roman"/>
          <w:b w:val="0"/>
          <w:i/>
          <w:sz w:val="24"/>
        </w:rPr>
        <w:t>p</w:t>
      </w:r>
      <w:r>
        <w:rPr>
          <w:rFonts w:ascii="Times New Roman" w:hAnsi="Times New Roman" w:eastAsia="Times New Roman" w:cs="Times New Roman"/>
          <w:b w:val="0"/>
          <w:i w:val="0"/>
          <w:sz w:val="24"/>
        </w:rPr>
        <w:t xml:space="preserve"> = .41). The evidence is uneven, though. Heterogeneity across studies (</w:t>
      </w:r>
      <w:r>
        <w:rPr>
          <w:rFonts w:ascii="Times New Roman" w:hAnsi="Times New Roman" w:eastAsia="Times New Roman" w:cs="Times New Roman"/>
          <w:b w:val="0"/>
          <w:i/>
          <w:sz w:val="24"/>
        </w:rPr>
        <w:t>I</w:t>
      </w:r>
      <w:r>
        <w:rPr>
          <w:rFonts w:ascii="Times New Roman" w:hAnsi="Times New Roman" w:eastAsia="Times New Roman" w:cs="Times New Roman"/>
          <w:b w:val="0"/>
          <w:i w:val="0"/>
          <w:sz w:val="24"/>
        </w:rPr>
        <w:t xml:space="preserve">²) was 95% for completion time and 55% for learning success, and the abstract calls the time reduction significant while listing </w:t>
      </w:r>
      <w:r>
        <w:rPr>
          <w:rFonts w:ascii="Times New Roman" w:hAnsi="Times New Roman" w:eastAsia="Times New Roman" w:cs="Times New Roman"/>
          <w:b w:val="0"/>
          <w:i/>
          <w:sz w:val="24"/>
        </w:rPr>
        <w:t>p</w:t>
      </w:r>
      <w:r>
        <w:rPr>
          <w:rFonts w:ascii="Times New Roman" w:hAnsi="Times New Roman" w:eastAsia="Times New Roman" w:cs="Times New Roman"/>
          <w:b w:val="0"/>
          <w:i w:val="0"/>
          <w:sz w:val="24"/>
        </w:rPr>
        <w:t xml:space="preserve"> = .34. It does not say whether any pooled study measured learning after a delay.</w:t>
      </w:r>
    </w:p>
    <w:p>
      <w:pPr>
        <w:keepNext w:val="0"/>
        <w:widowControl/>
        <w:spacing w:line="480" w:lineRule="auto" w:before="0" w:after="0"/>
        <w:ind w:firstLine="720"/>
        <w:jc w:val="left"/>
      </w:pPr>
      <w:r>
        <w:rPr>
          <w:rFonts w:ascii="Times New Roman" w:hAnsi="Times New Roman" w:eastAsia="Times New Roman" w:cs="Times New Roman"/>
          <w:b w:val="0"/>
          <w:i w:val="0"/>
          <w:sz w:val="24"/>
        </w:rPr>
        <w:t>Alquran and Banitaan (2026) surveyed 248 students about learning, trust, and productivity with tools such as Copilot, ChatGPT, and DeepSeek, and they reported generally positive perceptions. Their Kruskal–Wallis tests found “no significant differences in perceived learning across Basic, Intermediate, and Expert programmers” (Abstract). A survey shows what students believe, not what they can do, and its correlations cannot show which variable drives which.</w:t>
      </w:r>
    </w:p>
    <w:p>
      <w:pPr>
        <w:keepNext w:val="0"/>
        <w:widowControl/>
        <w:spacing w:line="480" w:lineRule="auto" w:before="0" w:after="0"/>
        <w:ind w:firstLine="720"/>
        <w:jc w:val="left"/>
      </w:pPr>
      <w:r>
        <w:rPr>
          <w:rFonts w:ascii="Times New Roman" w:hAnsi="Times New Roman" w:eastAsia="Times New Roman" w:cs="Times New Roman"/>
          <w:b w:val="0"/>
          <w:i w:val="0"/>
          <w:sz w:val="24"/>
        </w:rPr>
        <w:t>Read together, the sources divide by what they measure. The experimental, quasi-experimental, and meta-analytic work agrees that AI help raises performance during a course. Evidence about understanding is thinner and mixed: a slight, nonsignificant retention edge after one week, a nonsignificant pooled effect on learning success, and a control group ahead on some core skills. The observational and survey studies describe difficulties and beliefs instead of measured ability. What is missing is a design that follows assisted and unassisted students past the end of a course and tests both groups without the tool. That is the gap this study targets.</w:t>
      </w:r>
    </w:p>
    <w:p>
      <w:pPr>
        <w:pStyle w:val="Heading1"/>
        <w:keepNext/>
        <w:pageBreakBefore w:val="0"/>
        <w:widowControl/>
        <w:spacing w:line="480" w:lineRule="auto" w:before="0" w:after="0"/>
        <w:jc w:val="center"/>
      </w:pPr>
      <w:r>
        <w:rPr>
          <w:rFonts w:ascii="Times New Roman" w:hAnsi="Times New Roman" w:eastAsia="Times New Roman" w:cs="Times New Roman"/>
          <w:b/>
          <w:sz w:val="24"/>
        </w:rPr>
        <w:t>Methodology</w:t>
      </w:r>
    </w:p>
    <w:p>
      <w:pPr>
        <w:keepNext w:val="0"/>
        <w:widowControl/>
        <w:spacing w:line="480" w:lineRule="auto" w:before="0" w:after="0"/>
        <w:ind w:firstLine="720"/>
        <w:jc w:val="left"/>
      </w:pPr>
      <w:r>
        <w:rPr>
          <w:rFonts w:ascii="Times New Roman" w:hAnsi="Times New Roman" w:eastAsia="Times New Roman" w:cs="Times New Roman"/>
          <w:b w:val="0"/>
          <w:i w:val="0"/>
          <w:sz w:val="24"/>
        </w:rPr>
        <w:t>A method section, according to Serdikoff (2021), should be clear and detailed enough that other researchers could replicate the study (p. 761), so the plan is laid out by its parts.</w:t>
      </w:r>
    </w:p>
    <w:p>
      <w:pPr>
        <w:pStyle w:val="Heading2"/>
        <w:keepNext/>
        <w:pageBreakBefore w:val="0"/>
        <w:widowControl/>
        <w:spacing w:line="480" w:lineRule="auto" w:before="0" w:after="0"/>
        <w:jc w:val="left"/>
      </w:pPr>
      <w:r>
        <w:rPr>
          <w:rFonts w:ascii="Times New Roman" w:hAnsi="Times New Roman" w:eastAsia="Times New Roman" w:cs="Times New Roman"/>
          <w:b/>
          <w:sz w:val="24"/>
        </w:rPr>
        <w:t>Design</w:t>
      </w:r>
    </w:p>
    <w:p>
      <w:pPr>
        <w:keepNext w:val="0"/>
        <w:widowControl/>
        <w:spacing w:line="480" w:lineRule="auto" w:before="0" w:after="0"/>
        <w:ind w:firstLine="720"/>
        <w:jc w:val="left"/>
      </w:pPr>
      <w:r>
        <w:rPr>
          <w:rFonts w:ascii="Times New Roman" w:hAnsi="Times New Roman" w:eastAsia="Times New Roman" w:cs="Times New Roman"/>
          <w:b w:val="0"/>
          <w:i w:val="0"/>
          <w:sz w:val="24"/>
        </w:rPr>
        <w:t>The study uses an explanatory sequential mixed-methods design. Quantitative data are collected and analyzed first, and interviews follow to explain what the numbers show (George, 2025a). This fits the objectives, because Objectives 1 and 2 need scores, while scores alone cannot say why a student managed or struggled without the tool. George (2025a) also points to the heavy workload of combining two kinds of data, so the interview strand is kept small.</w:t>
      </w:r>
    </w:p>
    <w:p>
      <w:pPr>
        <w:pStyle w:val="Heading2"/>
        <w:keepNext/>
        <w:pageBreakBefore w:val="0"/>
        <w:widowControl/>
        <w:spacing w:line="480" w:lineRule="auto" w:before="0" w:after="0"/>
        <w:jc w:val="left"/>
      </w:pPr>
      <w:r>
        <w:rPr>
          <w:rFonts w:ascii="Times New Roman" w:hAnsi="Times New Roman" w:eastAsia="Times New Roman" w:cs="Times New Roman"/>
          <w:b/>
          <w:sz w:val="24"/>
        </w:rPr>
        <w:t>Participants</w:t>
      </w:r>
    </w:p>
    <w:p>
      <w:pPr>
        <w:keepNext w:val="0"/>
        <w:widowControl/>
        <w:spacing w:line="480" w:lineRule="auto" w:before="0" w:after="0"/>
        <w:ind w:firstLine="720"/>
        <w:jc w:val="left"/>
      </w:pPr>
      <w:r>
        <w:rPr>
          <w:rFonts w:ascii="Times New Roman" w:hAnsi="Times New Roman" w:eastAsia="Times New Roman" w:cs="Times New Roman"/>
          <w:b w:val="0"/>
          <w:i w:val="0"/>
          <w:sz w:val="24"/>
        </w:rPr>
        <w:t>The accessible population (National University, n.d.-b) would be students finishing a CS1 course at institutions that agree to take part. A convenience sample is probably the most common form of nonprobability sampling in behavioral research (Serdikoff, 2021, p. 561), and it is realistic for one researcher. The target is about 30 students in each group. Students report how many graded assignments they completed with an assistant, and instructors can check the count against assignment records. The AI-assisted group used an assistant on at least three graded assignments, and the unassisted group used none. The threshold of three is a design choice: one or two uses could be a single experiment, while three or more suggest a habit. Students in between would be left out of the main comparison, and because the count is recorded for everyone, it can also be analyzed as a continuous measure to test whether the threshold matters.</w:t>
      </w:r>
    </w:p>
    <w:p>
      <w:pPr>
        <w:keepNext w:val="0"/>
        <w:widowControl/>
        <w:spacing w:line="480" w:lineRule="auto" w:before="0" w:after="0"/>
        <w:ind w:firstLine="720"/>
        <w:jc w:val="left"/>
      </w:pPr>
      <w:r>
        <w:rPr>
          <w:rFonts w:ascii="Times New Roman" w:hAnsi="Times New Roman" w:eastAsia="Times New Roman" w:cs="Times New Roman"/>
          <w:b w:val="0"/>
          <w:i w:val="0"/>
          <w:sz w:val="24"/>
        </w:rPr>
        <w:t>Students choose for themselves whether to use AI, so the study is observational and the groups are nonequivalent (Serdikoff, 2021, p. 604). Students who use AI may differ in prior experience, motivation, or access to resources, and any of these could affect delayed scores independently of the tool. Kazemitabaar et al. (2023) balanced their groups using a pretest of prior knowledge, which is only partly possible here because students cannot be assigned. Instead, a short quiz in the first week would measure baseline programming knowledge. A questionnaire would ask about earlier coding experience, motivation for taking the course, and access to resources such as a personal computer or a paid AI subscription. These measures and final course grades would serve as controls, and any difference would be described as an association, because an observational comparison cannot show that AI use caused it.</w:t>
      </w:r>
    </w:p>
    <w:p>
      <w:pPr>
        <w:pStyle w:val="Heading2"/>
        <w:keepNext/>
        <w:pageBreakBefore w:val="0"/>
        <w:widowControl/>
        <w:spacing w:line="480" w:lineRule="auto" w:before="0" w:after="0"/>
        <w:jc w:val="left"/>
      </w:pPr>
      <w:r>
        <w:rPr>
          <w:rFonts w:ascii="Times New Roman" w:hAnsi="Times New Roman" w:eastAsia="Times New Roman" w:cs="Times New Roman"/>
          <w:b/>
          <w:sz w:val="24"/>
        </w:rPr>
        <w:t>Measures and Procedure</w:t>
      </w:r>
    </w:p>
    <w:p>
      <w:pPr>
        <w:keepNext w:val="0"/>
        <w:widowControl/>
        <w:spacing w:line="480" w:lineRule="auto" w:before="0" w:after="0"/>
        <w:ind w:firstLine="720"/>
        <w:jc w:val="left"/>
      </w:pPr>
      <w:r>
        <w:rPr>
          <w:rFonts w:ascii="Times New Roman" w:hAnsi="Times New Roman" w:eastAsia="Times New Roman" w:cs="Times New Roman"/>
          <w:b w:val="0"/>
          <w:i w:val="0"/>
          <w:sz w:val="24"/>
        </w:rPr>
        <w:t>At the end of the course, students would rate their own learning on five items, one for each core topic (variables, conditionals, loops, functions, and debugging), from 1 (not at all confident) to 5 (completely confident). The average would be compared with the concept check, which covers the same topics.</w:t>
      </w:r>
    </w:p>
    <w:p>
      <w:pPr>
        <w:keepNext w:val="0"/>
        <w:widowControl/>
        <w:spacing w:line="480" w:lineRule="auto" w:before="0" w:after="0"/>
        <w:ind w:firstLine="720"/>
        <w:jc w:val="left"/>
      </w:pPr>
      <w:r>
        <w:rPr>
          <w:rFonts w:ascii="Times New Roman" w:hAnsi="Times New Roman" w:eastAsia="Times New Roman" w:cs="Times New Roman"/>
          <w:b w:val="0"/>
          <w:i w:val="0"/>
          <w:sz w:val="24"/>
        </w:rPr>
        <w:t>One semester later, every participant would sit the same proctored concept check, with no internet or AI access, in about 60 minutes. It would have three parts: tracing short programs to predict their output, finding and fixing a bug, and writing one- or two-sentence explanations of what a piece of code does and why. Items would come from the five core topics, would not repeat graded assignments, and would be reviewed by two CS1 instructors for fit with the course. Everyone takes one form, so difficulty is the same for both groups. Tracing and debugging items have answer keys, and each explanation is scored from 0 to 2, with full credit only for correct reasoning. Two raters unaware of a student’s group would each score every paper, and the match between their scores would be reported. Conceptual understanding is the total score, with the three parts also reported separately.</w:t>
      </w:r>
    </w:p>
    <w:p>
      <w:pPr>
        <w:keepNext w:val="0"/>
        <w:widowControl/>
        <w:spacing w:line="480" w:lineRule="auto" w:before="0" w:after="0"/>
        <w:ind w:firstLine="720"/>
        <w:jc w:val="left"/>
      </w:pPr>
      <w:r>
        <w:rPr>
          <w:rFonts w:ascii="Times New Roman" w:hAnsi="Times New Roman" w:eastAsia="Times New Roman" w:cs="Times New Roman"/>
          <w:b w:val="0"/>
          <w:i w:val="0"/>
          <w:sz w:val="24"/>
        </w:rPr>
        <w:t>Interview participants would be chosen for contrast, not at random. The six to eight students would include some with high course grades but low delayed scores, some with consistently high or consistently low results, and a mix of light and heavy AI use. Each interview would last about 20 minutes and ask how the student approached the check and what they do when stuck without the tool. Participants would give informed consent, and scores would be anonymized.</w:t>
      </w:r>
    </w:p>
    <w:p>
      <w:pPr>
        <w:pStyle w:val="Heading2"/>
        <w:keepNext/>
        <w:pageBreakBefore w:val="0"/>
        <w:widowControl/>
        <w:spacing w:line="480" w:lineRule="auto" w:before="0" w:after="0"/>
        <w:jc w:val="left"/>
      </w:pPr>
      <w:r>
        <w:rPr>
          <w:rFonts w:ascii="Times New Roman" w:hAnsi="Times New Roman" w:eastAsia="Times New Roman" w:cs="Times New Roman"/>
          <w:b/>
          <w:sz w:val="24"/>
        </w:rPr>
        <w:t>Analysis</w:t>
      </w:r>
    </w:p>
    <w:p>
      <w:pPr>
        <w:keepNext w:val="0"/>
        <w:widowControl/>
        <w:spacing w:line="480" w:lineRule="auto" w:before="0" w:after="0"/>
        <w:ind w:firstLine="720"/>
        <w:jc w:val="left"/>
      </w:pPr>
      <w:r>
        <w:rPr>
          <w:rFonts w:ascii="Times New Roman" w:hAnsi="Times New Roman" w:eastAsia="Times New Roman" w:cs="Times New Roman"/>
          <w:b w:val="0"/>
          <w:i w:val="0"/>
          <w:sz w:val="24"/>
        </w:rPr>
        <w:t xml:space="preserve">Group scores would be compared with an independent-samples </w:t>
      </w:r>
      <w:r>
        <w:rPr>
          <w:rFonts w:ascii="Times New Roman" w:hAnsi="Times New Roman" w:eastAsia="Times New Roman" w:cs="Times New Roman"/>
          <w:b w:val="0"/>
          <w:i/>
          <w:sz w:val="24"/>
        </w:rPr>
        <w:t>t</w:t>
      </w:r>
      <w:r>
        <w:rPr>
          <w:rFonts w:ascii="Times New Roman" w:hAnsi="Times New Roman" w:eastAsia="Times New Roman" w:cs="Times New Roman"/>
          <w:b w:val="0"/>
          <w:i w:val="0"/>
          <w:sz w:val="24"/>
        </w:rPr>
        <w:t xml:space="preserve"> test and then rechecked in a regression that adds baseline knowledge, prior experience, motivation, resource access, and course grade. The link between self-rated learning and the delayed score would be tested with a correlation and a simple regression. Interview transcripts would be coded by theme, using a codebook built from the research questions. A table pairing each interviewee’s scores with their coded themes would show whether the themes help explain the numbers.</w:t>
      </w:r>
    </w:p>
    <w:p>
      <w:pPr>
        <w:pStyle w:val="Heading1"/>
        <w:keepNext/>
        <w:pageBreakBefore w:val="0"/>
        <w:widowControl/>
        <w:spacing w:line="480" w:lineRule="auto" w:before="0" w:after="0"/>
        <w:jc w:val="center"/>
      </w:pPr>
      <w:r>
        <w:rPr>
          <w:rFonts w:ascii="Times New Roman" w:hAnsi="Times New Roman" w:eastAsia="Times New Roman" w:cs="Times New Roman"/>
          <w:b/>
          <w:sz w:val="24"/>
        </w:rPr>
        <w:t>Discussion of Results</w:t>
      </w:r>
    </w:p>
    <w:p>
      <w:pPr>
        <w:keepNext w:val="0"/>
        <w:widowControl/>
        <w:spacing w:line="480" w:lineRule="auto" w:before="0" w:after="0"/>
        <w:ind w:firstLine="720"/>
        <w:jc w:val="left"/>
      </w:pPr>
      <w:r>
        <w:rPr>
          <w:rFonts w:ascii="Times New Roman" w:hAnsi="Times New Roman" w:eastAsia="Times New Roman" w:cs="Times New Roman"/>
          <w:b w:val="0"/>
          <w:i w:val="0"/>
          <w:sz w:val="24"/>
        </w:rPr>
        <w:t>No data have been collected, so this section does what a discussion can honestly do: summarize what existing results show, lay out what each possible outcome of the proposed study would mean, and name the limits. That follows the elements Serdikoff (2021) lists for a discussion, which are a summary, implications, limitations, and suggestions for future research (p. 766).</w:t>
      </w:r>
    </w:p>
    <w:p>
      <w:pPr>
        <w:pStyle w:val="Heading2"/>
        <w:keepNext/>
        <w:pageBreakBefore w:val="0"/>
        <w:widowControl/>
        <w:spacing w:line="480" w:lineRule="auto" w:before="0" w:after="0"/>
        <w:jc w:val="left"/>
      </w:pPr>
      <w:r>
        <w:rPr>
          <w:rFonts w:ascii="Times New Roman" w:hAnsi="Times New Roman" w:eastAsia="Times New Roman" w:cs="Times New Roman"/>
          <w:b/>
          <w:sz w:val="24"/>
        </w:rPr>
        <w:t>What the Existing Results Show</w:t>
      </w:r>
    </w:p>
    <w:p>
      <w:pPr>
        <w:keepNext w:val="0"/>
        <w:widowControl/>
        <w:spacing w:line="480" w:lineRule="auto" w:before="0" w:after="0"/>
        <w:ind w:firstLine="720"/>
        <w:jc w:val="left"/>
      </w:pPr>
      <w:r>
        <w:rPr>
          <w:rFonts w:ascii="Times New Roman" w:hAnsi="Times New Roman" w:eastAsia="Times New Roman" w:cs="Times New Roman"/>
          <w:b w:val="0"/>
          <w:i w:val="0"/>
          <w:sz w:val="24"/>
        </w:rPr>
        <w:t>The reviewed results agree on short-term performance gains and say little, or disagree, about understanding. Adding Shen and Tamkin’s (2026) finding that AI use lowered conceptual understanding in programmers suggests a possible trade-off for novices: more output now, less understanding later. This remains only a possibility, because the strongest CS1 evidence found just a slight, nonsignificant retention edge for the AI group.</w:t>
      </w:r>
    </w:p>
    <w:p>
      <w:pPr>
        <w:pStyle w:val="Heading2"/>
        <w:keepNext/>
        <w:pageBreakBefore w:val="0"/>
        <w:widowControl/>
        <w:spacing w:line="480" w:lineRule="auto" w:before="0" w:after="0"/>
        <w:jc w:val="left"/>
      </w:pPr>
      <w:r>
        <w:rPr>
          <w:rFonts w:ascii="Times New Roman" w:hAnsi="Times New Roman" w:eastAsia="Times New Roman" w:cs="Times New Roman"/>
          <w:b/>
          <w:sz w:val="24"/>
        </w:rPr>
        <w:t>What the Proposed Study Could Show</w:t>
      </w:r>
    </w:p>
    <w:p>
      <w:pPr>
        <w:keepNext w:val="0"/>
        <w:widowControl/>
        <w:spacing w:line="480" w:lineRule="auto" w:before="0" w:after="0"/>
        <w:ind w:firstLine="720"/>
        <w:jc w:val="left"/>
      </w:pPr>
      <w:r>
        <w:rPr>
          <w:rFonts w:ascii="Times New Roman" w:hAnsi="Times New Roman" w:eastAsia="Times New Roman" w:cs="Times New Roman"/>
          <w:b w:val="0"/>
          <w:i w:val="0"/>
          <w:sz w:val="24"/>
        </w:rPr>
        <w:t>Three outcomes are plausible. Should the AI-assisted group’s course advantage persist on the AI-free check, assistants may be speeding up real learning, and instructors could adopt them with more confidence. If the advantage disappears or reverses, as the working hypothesis predicts, assisted performance overstated what students could do alone. A mixed result is also likely: AI users might write code well but read and debug it poorly, which would match the weaknesses reported by Shen and Tamkin (2026). The interviews would help sort these cases by showing whether low scorers describe leaning on the tool to skip hard steps or simply forgetting material. Whatever the numbers show, one study produces scientific evidence, not proof (Serdikoff, 2021, p. 182).</w:t>
      </w:r>
    </w:p>
    <w:p>
      <w:pPr>
        <w:keepNext w:val="0"/>
        <w:widowControl/>
        <w:spacing w:line="480" w:lineRule="auto" w:before="0" w:after="0"/>
        <w:ind w:firstLine="720"/>
        <w:jc w:val="left"/>
      </w:pPr>
      <w:r>
        <w:rPr>
          <w:rFonts w:ascii="Times New Roman" w:hAnsi="Times New Roman" w:eastAsia="Times New Roman" w:cs="Times New Roman"/>
          <w:b w:val="0"/>
          <w:i w:val="0"/>
          <w:sz w:val="24"/>
        </w:rPr>
        <w:t>Objective 3 has outcomes of its own. If self-rated learning predicts the delayed score, student confidence is a usable signal. If it does not, instructors should not rely on student surveys to judge whether AI use is working.</w:t>
      </w:r>
    </w:p>
    <w:p>
      <w:pPr>
        <w:pStyle w:val="Heading2"/>
        <w:keepNext/>
        <w:pageBreakBefore w:val="0"/>
        <w:widowControl/>
        <w:spacing w:line="480" w:lineRule="auto" w:before="0" w:after="0"/>
        <w:jc w:val="left"/>
      </w:pPr>
      <w:r>
        <w:rPr>
          <w:rFonts w:ascii="Times New Roman" w:hAnsi="Times New Roman" w:eastAsia="Times New Roman" w:cs="Times New Roman"/>
          <w:b/>
          <w:sz w:val="24"/>
        </w:rPr>
        <w:t>Implications and Limitations</w:t>
      </w:r>
    </w:p>
    <w:p>
      <w:pPr>
        <w:keepNext w:val="0"/>
        <w:widowControl/>
        <w:spacing w:line="480" w:lineRule="auto" w:before="0" w:after="0"/>
        <w:ind w:firstLine="720"/>
        <w:jc w:val="left"/>
      </w:pPr>
      <w:r>
        <w:rPr>
          <w:rFonts w:ascii="Times New Roman" w:hAnsi="Times New Roman" w:eastAsia="Times New Roman" w:cs="Times New Roman"/>
          <w:b w:val="0"/>
          <w:i w:val="0"/>
          <w:sz w:val="24"/>
        </w:rPr>
        <w:t>A fading advantage would argue for pairing AI use with unaided practice, such as AI-free quizzes or code-tracing exercises. The limitations are real. Students choose their own groups, so the study can show associations but not that AI use caused any difference, and the controls may miss factors such as study habits. Thirty students per group is small for detecting modest effects, one concept check cannot cover every skill, and a convenience sample limits how far results generalize. Future work could randomly assign tool access, follow students for more than one semester, or compare different ways of using an assistant.</w:t>
      </w:r>
    </w:p>
    <w:p>
      <w:pPr>
        <w:pStyle w:val="Heading1"/>
        <w:keepNext/>
        <w:pageBreakBefore w:val="0"/>
        <w:widowControl/>
        <w:spacing w:line="480" w:lineRule="auto" w:before="0" w:after="0"/>
        <w:jc w:val="center"/>
      </w:pPr>
      <w:r>
        <w:rPr>
          <w:rFonts w:ascii="Times New Roman" w:hAnsi="Times New Roman" w:eastAsia="Times New Roman" w:cs="Times New Roman"/>
          <w:b/>
          <w:sz w:val="24"/>
        </w:rPr>
        <w:t>Conclusion</w:t>
      </w:r>
    </w:p>
    <w:p>
      <w:pPr>
        <w:keepNext w:val="0"/>
        <w:widowControl/>
        <w:spacing w:line="480" w:lineRule="auto" w:before="0" w:after="0"/>
        <w:ind w:firstLine="720"/>
        <w:jc w:val="left"/>
      </w:pPr>
      <w:r>
        <w:rPr>
          <w:rFonts w:ascii="Times New Roman" w:hAnsi="Times New Roman" w:eastAsia="Times New Roman" w:cs="Times New Roman"/>
          <w:b w:val="0"/>
          <w:i w:val="0"/>
          <w:sz w:val="24"/>
        </w:rPr>
        <w:t>Assistants such as Copilot help students finish and score well in a first programming course, but the evidence reviewed here does not show that this help becomes a skill that remains once the tool is gone. The five studies agree on short-term performance and divide on understanding, and none that I could confirm follows students past the end of the course. The proposed follow-up addresses that gap with an AI-free concept check one semester later, a comparison of assisted and unassisted students, and interviews that explain the scores. Its three objectives ask whether the advantage lasts, whether understanding differs, and whether students’ own ratings of their learning can be trusted. Courses are likely to keep adopting these tools, and educators need to know what students can do without them before treating assisted work as proof of ability. The answer will show whether an assistant helps students become programmers or only helps them finish programs.</w:t>
      </w:r>
    </w:p>
    <w:p>
      <w:pPr>
        <w:pStyle w:val="Heading1"/>
        <w:keepNext/>
        <w:pageBreakBefore w:val="0"/>
        <w:widowControl/>
        <w:spacing w:line="480" w:lineRule="auto" w:before="0" w:after="0"/>
        <w:jc w:val="center"/>
      </w:pPr>
      <w:r>
        <w:rPr>
          <w:rFonts w:ascii="Times New Roman" w:hAnsi="Times New Roman" w:eastAsia="Times New Roman" w:cs="Times New Roman"/>
          <w:b/>
          <w:sz w:val="24"/>
        </w:rPr>
        <w:t>Revision Note</w:t>
      </w:r>
    </w:p>
    <w:p>
      <w:pPr>
        <w:keepNext w:val="0"/>
        <w:widowControl/>
        <w:spacing w:line="480" w:lineRule="auto" w:before="0" w:after="0"/>
        <w:ind w:firstLine="720"/>
        <w:jc w:val="left"/>
      </w:pPr>
      <w:r>
        <w:rPr>
          <w:rFonts w:ascii="Times New Roman" w:hAnsi="Times New Roman" w:eastAsia="Times New Roman" w:cs="Times New Roman"/>
          <w:b w:val="0"/>
          <w:i w:val="0"/>
          <w:sz w:val="24"/>
        </w:rPr>
        <w:t>This paper compiles my Unit 2 hypothesis and sources, Unit 3 summaries, Unit 4 problem statement and questions, Unit 5 methodology plan, and Unit 7 abstract. Following Weaver et al. (2016, Section 2.4), I revised ideas first and then edited wording, rereading each section once for unity and once for coherence. Hall and Wallace (2018, Section 5.1) advise avoiding contractions, so earlier ones were removed, and Serdikoff’s (2021) list of common APA errors (p. 738) guided checks of numerals, hyphenation, and abbreviations. Aparna Rajith’s feedback shaped the largest changes: the follow-up claim was rechecked against full texts, the three-assignment threshold is explained, self-selection and prior experience are handled in the design, and the measures and interview selection are specified. The abstract fell from 393 words to under 200, in line with The Writing Center (n.d.). A broken National University link was replaced, Prather et al. was corrected to 2024, and the conclusion restates the thesis in new words (Hall &amp; Wallace, 2018, Section 4.7).</w:t>
      </w:r>
    </w:p>
    <w:p>
      <w:pPr>
        <w:pStyle w:val="Heading1"/>
        <w:keepNext/>
        <w:pageBreakBefore/>
        <w:widowControl/>
        <w:spacing w:line="480" w:lineRule="auto" w:before="0" w:after="0"/>
        <w:jc w:val="center"/>
      </w:pPr>
      <w:r>
        <w:rPr>
          <w:rFonts w:ascii="Times New Roman" w:hAnsi="Times New Roman" w:eastAsia="Times New Roman" w:cs="Times New Roman"/>
          <w:b/>
          <w:sz w:val="24"/>
        </w:rPr>
        <w:t>References</w:t>
      </w:r>
    </w:p>
    <w:p>
      <w:pPr>
        <w:keepNext w:val="0"/>
        <w:widowControl/>
        <w:spacing w:line="480" w:lineRule="auto" w:before="0" w:after="0"/>
        <w:ind w:left="720" w:hanging="720"/>
        <w:jc w:val="left"/>
      </w:pPr>
      <w:r>
        <w:rPr>
          <w:rFonts w:ascii="Times New Roman" w:hAnsi="Times New Roman" w:eastAsia="Times New Roman" w:cs="Times New Roman"/>
          <w:b w:val="0"/>
          <w:i w:val="0"/>
          <w:sz w:val="24"/>
        </w:rPr>
        <w:t xml:space="preserve">Alanazi, M., Soh, B., Samra, H., &amp; Li, A. (2025). The influence of artificial intelligence tools on learning outcomes in computer programming: A systematic review and meta-analysis. </w:t>
      </w:r>
      <w:r>
        <w:rPr>
          <w:rFonts w:ascii="Times New Roman" w:hAnsi="Times New Roman" w:eastAsia="Times New Roman" w:cs="Times New Roman"/>
          <w:b w:val="0"/>
          <w:i/>
          <w:sz w:val="24"/>
        </w:rPr>
        <w:t>Computers, 14</w:t>
      </w:r>
      <w:r>
        <w:rPr>
          <w:rFonts w:ascii="Times New Roman" w:hAnsi="Times New Roman" w:eastAsia="Times New Roman" w:cs="Times New Roman"/>
          <w:b w:val="0"/>
          <w:i w:val="0"/>
          <w:sz w:val="24"/>
        </w:rPr>
        <w:t xml:space="preserve">(5), Article 185. </w:t>
      </w:r>
      <w:hyperlink r:id="rId10" w:history="1">
        <w:r>
          <w:rPr>
            <w:rFonts w:ascii="Times New Roman" w:hAnsi="Times New Roman" w:eastAsia="Times New Roman" w:cs="Times New Roman"/>
            <w:color w:val="0563C1"/>
            <w:sz w:val="24"/>
            <w:szCs w:val="24"/>
            <w:u w:val="single"/>
          </w:rPr>
          <w:t xml:space="preserve">https://doi.org/10.3390/computers14050185</w:t>
        </w:r>
      </w:hyperlink>
    </w:p>
    <w:p>
      <w:pPr>
        <w:keepNext w:val="0"/>
        <w:widowControl/>
        <w:spacing w:line="480" w:lineRule="auto" w:before="0" w:after="0"/>
        <w:ind w:left="720" w:hanging="720"/>
        <w:jc w:val="left"/>
      </w:pPr>
      <w:r>
        <w:rPr>
          <w:rFonts w:ascii="Times New Roman" w:hAnsi="Times New Roman" w:eastAsia="Times New Roman" w:cs="Times New Roman"/>
          <w:b w:val="0"/>
          <w:i w:val="0"/>
          <w:sz w:val="24"/>
        </w:rPr>
        <w:t xml:space="preserve">Albadarin, Y., Saqr, M., Pope, N., &amp; Tukiainen, M. (2026). Evaluating the effect of generative AI-assisted debugging on students’ critical thinking. </w:t>
      </w:r>
      <w:r>
        <w:rPr>
          <w:rFonts w:ascii="Times New Roman" w:hAnsi="Times New Roman" w:eastAsia="Times New Roman" w:cs="Times New Roman"/>
          <w:b w:val="0"/>
          <w:i/>
          <w:sz w:val="24"/>
        </w:rPr>
        <w:t>Technology, Knowledge and Learning</w:t>
      </w:r>
      <w:r>
        <w:rPr>
          <w:rFonts w:ascii="Times New Roman" w:hAnsi="Times New Roman" w:eastAsia="Times New Roman" w:cs="Times New Roman"/>
          <w:b w:val="0"/>
          <w:i w:val="0"/>
          <w:sz w:val="24"/>
        </w:rPr>
        <w:t xml:space="preserve">. </w:t>
      </w:r>
      <w:hyperlink r:id="rId11" w:history="1">
        <w:r>
          <w:rPr>
            <w:rFonts w:ascii="Times New Roman" w:hAnsi="Times New Roman" w:eastAsia="Times New Roman" w:cs="Times New Roman"/>
            <w:color w:val="0563C1"/>
            <w:sz w:val="24"/>
            <w:szCs w:val="24"/>
            <w:u w:val="single"/>
          </w:rPr>
          <w:t xml:space="preserve">https://doi.org/10.1007/s10758-026-09998-z</w:t>
        </w:r>
      </w:hyperlink>
    </w:p>
    <w:p>
      <w:pPr>
        <w:keepNext w:val="0"/>
        <w:widowControl/>
        <w:spacing w:line="480" w:lineRule="auto" w:before="0" w:after="0"/>
        <w:ind w:left="720" w:hanging="720"/>
        <w:jc w:val="left"/>
      </w:pPr>
      <w:r>
        <w:rPr>
          <w:rFonts w:ascii="Times New Roman" w:hAnsi="Times New Roman" w:eastAsia="Times New Roman" w:cs="Times New Roman"/>
          <w:b w:val="0"/>
          <w:i w:val="0"/>
          <w:sz w:val="24"/>
        </w:rPr>
        <w:t xml:space="preserve">Alquran, H., &amp; Banitaan, S. (2026). Human–AI collaboration in programming education: Student perspectives on LLM-based coding assistants. </w:t>
      </w:r>
      <w:r>
        <w:rPr>
          <w:rFonts w:ascii="Times New Roman" w:hAnsi="Times New Roman" w:eastAsia="Times New Roman" w:cs="Times New Roman"/>
          <w:b w:val="0"/>
          <w:i/>
          <w:sz w:val="24"/>
        </w:rPr>
        <w:t>Computers, 15</w:t>
      </w:r>
      <w:r>
        <w:rPr>
          <w:rFonts w:ascii="Times New Roman" w:hAnsi="Times New Roman" w:eastAsia="Times New Roman" w:cs="Times New Roman"/>
          <w:b w:val="0"/>
          <w:i w:val="0"/>
          <w:sz w:val="24"/>
        </w:rPr>
        <w:t xml:space="preserve">(3), Article 154. </w:t>
      </w:r>
      <w:hyperlink r:id="rId12" w:history="1">
        <w:r>
          <w:rPr>
            <w:rFonts w:ascii="Times New Roman" w:hAnsi="Times New Roman" w:eastAsia="Times New Roman" w:cs="Times New Roman"/>
            <w:color w:val="0563C1"/>
            <w:sz w:val="24"/>
            <w:szCs w:val="24"/>
            <w:u w:val="single"/>
          </w:rPr>
          <w:t xml:space="preserve">https://doi.org/10.3390/computers15030154</w:t>
        </w:r>
      </w:hyperlink>
    </w:p>
    <w:p>
      <w:pPr>
        <w:keepNext w:val="0"/>
        <w:widowControl/>
        <w:spacing w:line="480" w:lineRule="auto" w:before="0" w:after="0"/>
        <w:ind w:left="720" w:hanging="720"/>
        <w:jc w:val="left"/>
      </w:pPr>
      <w:r>
        <w:rPr>
          <w:rFonts w:ascii="Times New Roman" w:hAnsi="Times New Roman" w:eastAsia="Times New Roman" w:cs="Times New Roman"/>
          <w:b w:val="0"/>
          <w:i w:val="0"/>
          <w:sz w:val="24"/>
        </w:rPr>
        <w:t xml:space="preserve">George, T. (2025a, January 14). </w:t>
      </w:r>
      <w:r>
        <w:rPr>
          <w:rFonts w:ascii="Times New Roman" w:hAnsi="Times New Roman" w:eastAsia="Times New Roman" w:cs="Times New Roman"/>
          <w:b w:val="0"/>
          <w:i/>
          <w:sz w:val="24"/>
        </w:rPr>
        <w:t>Mixed methods research | Definition, guide &amp; examples</w:t>
      </w:r>
      <w:r>
        <w:rPr>
          <w:rFonts w:ascii="Times New Roman" w:hAnsi="Times New Roman" w:eastAsia="Times New Roman" w:cs="Times New Roman"/>
          <w:b w:val="0"/>
          <w:i w:val="0"/>
          <w:sz w:val="24"/>
        </w:rPr>
        <w:t xml:space="preserve">. Scribbr. </w:t>
      </w:r>
      <w:hyperlink r:id="rId13" w:history="1">
        <w:r>
          <w:rPr>
            <w:rFonts w:ascii="Times New Roman" w:hAnsi="Times New Roman" w:eastAsia="Times New Roman" w:cs="Times New Roman"/>
            <w:color w:val="0563C1"/>
            <w:sz w:val="24"/>
            <w:szCs w:val="24"/>
            <w:u w:val="single"/>
          </w:rPr>
          <w:t xml:space="preserve">https://www.scribbr.com/methodology/mixed-methods-research/</w:t>
        </w:r>
      </w:hyperlink>
    </w:p>
    <w:p>
      <w:pPr>
        <w:keepNext w:val="0"/>
        <w:widowControl/>
        <w:spacing w:line="480" w:lineRule="auto" w:before="0" w:after="0"/>
        <w:ind w:left="720" w:hanging="720"/>
        <w:jc w:val="left"/>
      </w:pPr>
      <w:r>
        <w:rPr>
          <w:rFonts w:ascii="Times New Roman" w:hAnsi="Times New Roman" w:eastAsia="Times New Roman" w:cs="Times New Roman"/>
          <w:b w:val="0"/>
          <w:i w:val="0"/>
          <w:sz w:val="24"/>
        </w:rPr>
        <w:t xml:space="preserve">George, T. (2025b, January 16). </w:t>
      </w:r>
      <w:r>
        <w:rPr>
          <w:rFonts w:ascii="Times New Roman" w:hAnsi="Times New Roman" w:eastAsia="Times New Roman" w:cs="Times New Roman"/>
          <w:b w:val="0"/>
          <w:i/>
          <w:sz w:val="24"/>
        </w:rPr>
        <w:t>What are credible sources &amp; how to spot them | Examples</w:t>
      </w:r>
      <w:r>
        <w:rPr>
          <w:rFonts w:ascii="Times New Roman" w:hAnsi="Times New Roman" w:eastAsia="Times New Roman" w:cs="Times New Roman"/>
          <w:b w:val="0"/>
          <w:i w:val="0"/>
          <w:sz w:val="24"/>
        </w:rPr>
        <w:t xml:space="preserve">. Scribbr. </w:t>
      </w:r>
      <w:hyperlink r:id="rId14" w:history="1">
        <w:r>
          <w:rPr>
            <w:rFonts w:ascii="Times New Roman" w:hAnsi="Times New Roman" w:eastAsia="Times New Roman" w:cs="Times New Roman"/>
            <w:color w:val="0563C1"/>
            <w:sz w:val="24"/>
            <w:szCs w:val="24"/>
            <w:u w:val="single"/>
          </w:rPr>
          <w:t xml:space="preserve">https://www.scribbr.com/working-with-sources/credible-sources/</w:t>
        </w:r>
      </w:hyperlink>
    </w:p>
    <w:p>
      <w:pPr>
        <w:keepNext w:val="0"/>
        <w:widowControl/>
        <w:spacing w:line="480" w:lineRule="auto" w:before="0" w:after="0"/>
        <w:ind w:left="720" w:hanging="720"/>
        <w:jc w:val="left"/>
      </w:pPr>
      <w:r>
        <w:rPr>
          <w:rFonts w:ascii="Times New Roman" w:hAnsi="Times New Roman" w:eastAsia="Times New Roman" w:cs="Times New Roman"/>
          <w:b w:val="0"/>
          <w:i w:val="0"/>
          <w:sz w:val="24"/>
        </w:rPr>
        <w:t xml:space="preserve">Hall, B., &amp; Wallace, E. (2018). </w:t>
      </w:r>
      <w:r>
        <w:rPr>
          <w:rFonts w:ascii="Times New Roman" w:hAnsi="Times New Roman" w:eastAsia="Times New Roman" w:cs="Times New Roman"/>
          <w:b w:val="0"/>
          <w:i/>
          <w:sz w:val="24"/>
        </w:rPr>
        <w:t>College ESL writers: Applied grammar and composing strategies for success</w:t>
      </w:r>
      <w:r>
        <w:rPr>
          <w:rFonts w:ascii="Times New Roman" w:hAnsi="Times New Roman" w:eastAsia="Times New Roman" w:cs="Times New Roman"/>
          <w:b w:val="0"/>
          <w:i w:val="0"/>
          <w:sz w:val="24"/>
        </w:rPr>
        <w:t xml:space="preserve">. GALILEO Open Learning Materials. </w:t>
      </w:r>
      <w:hyperlink r:id="rId15" w:history="1">
        <w:r>
          <w:rPr>
            <w:rFonts w:ascii="Times New Roman" w:hAnsi="Times New Roman" w:eastAsia="Times New Roman" w:cs="Times New Roman"/>
            <w:color w:val="0563C1"/>
            <w:sz w:val="24"/>
            <w:szCs w:val="24"/>
            <w:u w:val="single"/>
          </w:rPr>
          <w:t xml:space="preserve">https://oer.galileo.usg.edu/english-textbooks/14/</w:t>
        </w:r>
      </w:hyperlink>
    </w:p>
    <w:p>
      <w:pPr>
        <w:keepNext w:val="0"/>
        <w:widowControl/>
        <w:spacing w:line="480" w:lineRule="auto" w:before="0" w:after="0"/>
        <w:ind w:left="720" w:hanging="720"/>
        <w:jc w:val="left"/>
      </w:pPr>
      <w:r>
        <w:rPr>
          <w:rFonts w:ascii="Times New Roman" w:hAnsi="Times New Roman" w:eastAsia="Times New Roman" w:cs="Times New Roman"/>
          <w:b w:val="0"/>
          <w:i w:val="0"/>
          <w:sz w:val="24"/>
        </w:rPr>
        <w:t xml:space="preserve">Kazemitabaar, M., Chow, J., Ma, C. K. T., Ericson, B. J., Weintrop, D., &amp; Grossman, T. (2023). Studying the effect of AI code generators on supporting novice learners in introductory programming. In </w:t>
      </w:r>
      <w:r>
        <w:rPr>
          <w:rFonts w:ascii="Times New Roman" w:hAnsi="Times New Roman" w:eastAsia="Times New Roman" w:cs="Times New Roman"/>
          <w:b w:val="0"/>
          <w:i/>
          <w:sz w:val="24"/>
        </w:rPr>
        <w:t>Proceedings of the 2023 CHI Conference on Human Factors in Computing Systems</w:t>
      </w:r>
      <w:r>
        <w:rPr>
          <w:rFonts w:ascii="Times New Roman" w:hAnsi="Times New Roman" w:eastAsia="Times New Roman" w:cs="Times New Roman"/>
          <w:b w:val="0"/>
          <w:i w:val="0"/>
          <w:sz w:val="24"/>
        </w:rPr>
        <w:t xml:space="preserve"> (pp. 1–23). Association for Computing Machinery. </w:t>
      </w:r>
      <w:hyperlink r:id="rId16" w:history="1">
        <w:r>
          <w:rPr>
            <w:rFonts w:ascii="Times New Roman" w:hAnsi="Times New Roman" w:eastAsia="Times New Roman" w:cs="Times New Roman"/>
            <w:color w:val="0563C1"/>
            <w:sz w:val="24"/>
            <w:szCs w:val="24"/>
            <w:u w:val="single"/>
          </w:rPr>
          <w:t xml:space="preserve">https://doi.org/10.1145/3544548.3580919</w:t>
        </w:r>
      </w:hyperlink>
    </w:p>
    <w:p>
      <w:pPr>
        <w:keepNext w:val="0"/>
        <w:widowControl/>
        <w:spacing w:line="480" w:lineRule="auto" w:before="0" w:after="0"/>
        <w:ind w:left="720" w:hanging="720"/>
        <w:jc w:val="left"/>
      </w:pPr>
      <w:r>
        <w:rPr>
          <w:rFonts w:ascii="Times New Roman" w:hAnsi="Times New Roman" w:eastAsia="Times New Roman" w:cs="Times New Roman"/>
          <w:b w:val="0"/>
          <w:i w:val="0"/>
          <w:sz w:val="24"/>
        </w:rPr>
        <w:t xml:space="preserve">National University. (n.d.-a). </w:t>
      </w:r>
      <w:r>
        <w:rPr>
          <w:rFonts w:ascii="Times New Roman" w:hAnsi="Times New Roman" w:eastAsia="Times New Roman" w:cs="Times New Roman"/>
          <w:b w:val="0"/>
          <w:i/>
          <w:sz w:val="24"/>
        </w:rPr>
        <w:t>Problem statement</w:t>
      </w:r>
      <w:r>
        <w:rPr>
          <w:rFonts w:ascii="Times New Roman" w:hAnsi="Times New Roman" w:eastAsia="Times New Roman" w:cs="Times New Roman"/>
          <w:b w:val="0"/>
          <w:i w:val="0"/>
          <w:sz w:val="24"/>
        </w:rPr>
        <w:t xml:space="preserve">. Research Writing and Analysis. Retrieved October 28, 2026, from </w:t>
      </w:r>
      <w:hyperlink r:id="rId17" w:history="1">
        <w:r>
          <w:rPr>
            <w:rFonts w:ascii="Times New Roman" w:hAnsi="Times New Roman" w:eastAsia="Times New Roman" w:cs="Times New Roman"/>
            <w:color w:val="0563C1"/>
            <w:sz w:val="24"/>
            <w:szCs w:val="24"/>
            <w:u w:val="single"/>
          </w:rPr>
          <w:t xml:space="preserve">https://resources.nu.edu/researchtools/Problem</w:t>
        </w:r>
      </w:hyperlink>
    </w:p>
    <w:p>
      <w:pPr>
        <w:keepNext w:val="0"/>
        <w:widowControl/>
        <w:spacing w:line="480" w:lineRule="auto" w:before="0" w:after="0"/>
        <w:ind w:left="720" w:hanging="720"/>
        <w:jc w:val="left"/>
      </w:pPr>
      <w:r>
        <w:rPr>
          <w:rFonts w:ascii="Times New Roman" w:hAnsi="Times New Roman" w:eastAsia="Times New Roman" w:cs="Times New Roman"/>
          <w:b w:val="0"/>
          <w:i w:val="0"/>
          <w:sz w:val="24"/>
        </w:rPr>
        <w:t xml:space="preserve">National University. (n.d.-b). </w:t>
      </w:r>
      <w:r>
        <w:rPr>
          <w:rFonts w:ascii="Times New Roman" w:hAnsi="Times New Roman" w:eastAsia="Times New Roman" w:cs="Times New Roman"/>
          <w:b w:val="0"/>
          <w:i/>
          <w:sz w:val="24"/>
        </w:rPr>
        <w:t>Sampling methods</w:t>
      </w:r>
      <w:r>
        <w:rPr>
          <w:rFonts w:ascii="Times New Roman" w:hAnsi="Times New Roman" w:eastAsia="Times New Roman" w:cs="Times New Roman"/>
          <w:b w:val="0"/>
          <w:i w:val="0"/>
          <w:sz w:val="24"/>
        </w:rPr>
        <w:t xml:space="preserve">. Research Writing and Analysis. Retrieved October 28, 2026, from </w:t>
      </w:r>
      <w:hyperlink r:id="rId18" w:history="1">
        <w:r>
          <w:rPr>
            <w:rFonts w:ascii="Times New Roman" w:hAnsi="Times New Roman" w:eastAsia="Times New Roman" w:cs="Times New Roman"/>
            <w:color w:val="0563C1"/>
            <w:sz w:val="24"/>
            <w:szCs w:val="24"/>
            <w:u w:val="single"/>
          </w:rPr>
          <w:t xml:space="preserve">https://resources.nu.edu/researchtools/samplingmethods</w:t>
        </w:r>
      </w:hyperlink>
    </w:p>
    <w:p>
      <w:pPr>
        <w:keepNext w:val="0"/>
        <w:widowControl/>
        <w:spacing w:line="480" w:lineRule="auto" w:before="0" w:after="0"/>
        <w:ind w:left="720" w:hanging="720"/>
        <w:jc w:val="left"/>
      </w:pPr>
      <w:r>
        <w:rPr>
          <w:rFonts w:ascii="Times New Roman" w:hAnsi="Times New Roman" w:eastAsia="Times New Roman" w:cs="Times New Roman"/>
          <w:b w:val="0"/>
          <w:i w:val="0"/>
          <w:sz w:val="24"/>
        </w:rPr>
        <w:t xml:space="preserve">Prather, J., Reeves, B. N., Denny, P., Becker, B. A., Leinonen, J., Luxton-Reilly, A., Powell, G., Finnie-Ansley, J., &amp; Santos, E. A. (2024). “It’s weird that it knows what I want”: Usability and interactions with Copilot for novice programmers. </w:t>
      </w:r>
      <w:r>
        <w:rPr>
          <w:rFonts w:ascii="Times New Roman" w:hAnsi="Times New Roman" w:eastAsia="Times New Roman" w:cs="Times New Roman"/>
          <w:b w:val="0"/>
          <w:i/>
          <w:sz w:val="24"/>
        </w:rPr>
        <w:t>ACM Transactions on Computer-Human Interaction, 31</w:t>
      </w:r>
      <w:r>
        <w:rPr>
          <w:rFonts w:ascii="Times New Roman" w:hAnsi="Times New Roman" w:eastAsia="Times New Roman" w:cs="Times New Roman"/>
          <w:b w:val="0"/>
          <w:i w:val="0"/>
          <w:sz w:val="24"/>
        </w:rPr>
        <w:t xml:space="preserve">(1), 1–31. </w:t>
      </w:r>
      <w:hyperlink r:id="rId19" w:history="1">
        <w:r>
          <w:rPr>
            <w:rFonts w:ascii="Times New Roman" w:hAnsi="Times New Roman" w:eastAsia="Times New Roman" w:cs="Times New Roman"/>
            <w:color w:val="0563C1"/>
            <w:sz w:val="24"/>
            <w:szCs w:val="24"/>
            <w:u w:val="single"/>
          </w:rPr>
          <w:t xml:space="preserve">https://doi.org/10.1145/3617367</w:t>
        </w:r>
      </w:hyperlink>
    </w:p>
    <w:p>
      <w:pPr>
        <w:keepNext w:val="0"/>
        <w:widowControl/>
        <w:spacing w:line="480" w:lineRule="auto" w:before="0" w:after="0"/>
        <w:ind w:left="720" w:hanging="720"/>
        <w:jc w:val="left"/>
      </w:pPr>
      <w:r>
        <w:rPr>
          <w:rFonts w:ascii="Times New Roman" w:hAnsi="Times New Roman" w:eastAsia="Times New Roman" w:cs="Times New Roman"/>
          <w:b w:val="0"/>
          <w:i w:val="0"/>
          <w:sz w:val="24"/>
        </w:rPr>
        <w:t xml:space="preserve">Ryan, E. (2023, November 20). </w:t>
      </w:r>
      <w:r>
        <w:rPr>
          <w:rFonts w:ascii="Times New Roman" w:hAnsi="Times New Roman" w:eastAsia="Times New Roman" w:cs="Times New Roman"/>
          <w:b w:val="0"/>
          <w:i/>
          <w:sz w:val="24"/>
        </w:rPr>
        <w:t>Research objectives | Definition &amp; examples</w:t>
      </w:r>
      <w:r>
        <w:rPr>
          <w:rFonts w:ascii="Times New Roman" w:hAnsi="Times New Roman" w:eastAsia="Times New Roman" w:cs="Times New Roman"/>
          <w:b w:val="0"/>
          <w:i w:val="0"/>
          <w:sz w:val="24"/>
        </w:rPr>
        <w:t xml:space="preserve">. Scribbr. </w:t>
      </w:r>
      <w:hyperlink r:id="rId20" w:history="1">
        <w:r>
          <w:rPr>
            <w:rFonts w:ascii="Times New Roman" w:hAnsi="Times New Roman" w:eastAsia="Times New Roman" w:cs="Times New Roman"/>
            <w:color w:val="0563C1"/>
            <w:sz w:val="24"/>
            <w:szCs w:val="24"/>
            <w:u w:val="single"/>
          </w:rPr>
          <w:t xml:space="preserve">https://www.scribbr.com/research-process/research-objectives/</w:t>
        </w:r>
      </w:hyperlink>
    </w:p>
    <w:p>
      <w:pPr>
        <w:keepNext w:val="0"/>
        <w:widowControl/>
        <w:spacing w:line="480" w:lineRule="auto" w:before="0" w:after="0"/>
        <w:ind w:left="720" w:hanging="720"/>
        <w:jc w:val="left"/>
      </w:pPr>
      <w:r>
        <w:rPr>
          <w:rFonts w:ascii="Times New Roman" w:hAnsi="Times New Roman" w:eastAsia="Times New Roman" w:cs="Times New Roman"/>
          <w:b w:val="0"/>
          <w:i w:val="0"/>
          <w:sz w:val="24"/>
        </w:rPr>
        <w:t xml:space="preserve">Serdikoff, S. L. (2021). </w:t>
      </w:r>
      <w:r>
        <w:rPr>
          <w:rFonts w:ascii="Times New Roman" w:hAnsi="Times New Roman" w:eastAsia="Times New Roman" w:cs="Times New Roman"/>
          <w:b w:val="0"/>
          <w:i/>
          <w:sz w:val="24"/>
        </w:rPr>
        <w:t>Research methods for the behavioral sciences</w:t>
      </w:r>
      <w:r>
        <w:rPr>
          <w:rFonts w:ascii="Times New Roman" w:hAnsi="Times New Roman" w:eastAsia="Times New Roman" w:cs="Times New Roman"/>
          <w:b w:val="0"/>
          <w:i w:val="0"/>
          <w:sz w:val="24"/>
        </w:rPr>
        <w:t xml:space="preserve"> (5th ed.). GALILEO Open Learning Materials. </w:t>
      </w:r>
      <w:hyperlink r:id="rId21" w:history="1">
        <w:r>
          <w:rPr>
            <w:rFonts w:ascii="Times New Roman" w:hAnsi="Times New Roman" w:eastAsia="Times New Roman" w:cs="Times New Roman"/>
            <w:color w:val="0563C1"/>
            <w:sz w:val="24"/>
            <w:szCs w:val="24"/>
            <w:u w:val="single"/>
          </w:rPr>
          <w:t xml:space="preserve">https://oer.galileo.usg.edu/psychology-textbooks/12/</w:t>
        </w:r>
      </w:hyperlink>
    </w:p>
    <w:p>
      <w:pPr>
        <w:keepNext w:val="0"/>
        <w:widowControl/>
        <w:spacing w:line="480" w:lineRule="auto" w:before="0" w:after="0"/>
        <w:ind w:left="720" w:hanging="720"/>
        <w:jc w:val="left"/>
      </w:pPr>
      <w:r>
        <w:rPr>
          <w:rFonts w:ascii="Times New Roman" w:hAnsi="Times New Roman" w:eastAsia="Times New Roman" w:cs="Times New Roman"/>
          <w:b w:val="0"/>
          <w:i w:val="0"/>
          <w:sz w:val="24"/>
        </w:rPr>
        <w:t xml:space="preserve">Shen, J. H., &amp; Tamkin, A. (2026). </w:t>
      </w:r>
      <w:r>
        <w:rPr>
          <w:rFonts w:ascii="Times New Roman" w:hAnsi="Times New Roman" w:eastAsia="Times New Roman" w:cs="Times New Roman"/>
          <w:b w:val="0"/>
          <w:i/>
          <w:sz w:val="24"/>
        </w:rPr>
        <w:t>How AI impacts skill formation</w:t>
      </w:r>
      <w:r>
        <w:rPr>
          <w:rFonts w:ascii="Times New Roman" w:hAnsi="Times New Roman" w:eastAsia="Times New Roman" w:cs="Times New Roman"/>
          <w:b w:val="0"/>
          <w:i w:val="0"/>
          <w:sz w:val="24"/>
        </w:rPr>
        <w:t xml:space="preserve"> (arXiv:2601.20245). arXiv. </w:t>
      </w:r>
      <w:hyperlink r:id="rId22" w:history="1">
        <w:r>
          <w:rPr>
            <w:rFonts w:ascii="Times New Roman" w:hAnsi="Times New Roman" w:eastAsia="Times New Roman" w:cs="Times New Roman"/>
            <w:color w:val="0563C1"/>
            <w:sz w:val="24"/>
            <w:szCs w:val="24"/>
            <w:u w:val="single"/>
          </w:rPr>
          <w:t xml:space="preserve">https://doi.org/10.48550/arXiv.2601.20245</w:t>
        </w:r>
      </w:hyperlink>
    </w:p>
    <w:p>
      <w:pPr>
        <w:keepNext w:val="0"/>
        <w:widowControl/>
        <w:spacing w:line="480" w:lineRule="auto" w:before="0" w:after="0"/>
        <w:ind w:left="720" w:hanging="720"/>
        <w:jc w:val="left"/>
      </w:pPr>
      <w:r>
        <w:rPr>
          <w:rFonts w:ascii="Times New Roman" w:hAnsi="Times New Roman" w:eastAsia="Times New Roman" w:cs="Times New Roman"/>
          <w:b w:val="0"/>
          <w:i w:val="0"/>
          <w:sz w:val="24"/>
        </w:rPr>
        <w:t xml:space="preserve">Weaver, R., Bost, L., Kassorla, M., McKinney-Holley, K., Crowther, K., Curtright, L., Gilbert, N., Hall, B., Ravita, T., &amp; Swenson, K. (2016). </w:t>
      </w:r>
      <w:r>
        <w:rPr>
          <w:rFonts w:ascii="Times New Roman" w:hAnsi="Times New Roman" w:eastAsia="Times New Roman" w:cs="Times New Roman"/>
          <w:b w:val="0"/>
          <w:i/>
          <w:sz w:val="24"/>
        </w:rPr>
        <w:t>Successful college composition</w:t>
      </w:r>
      <w:r>
        <w:rPr>
          <w:rFonts w:ascii="Times New Roman" w:hAnsi="Times New Roman" w:eastAsia="Times New Roman" w:cs="Times New Roman"/>
          <w:b w:val="0"/>
          <w:i w:val="0"/>
          <w:sz w:val="24"/>
        </w:rPr>
        <w:t xml:space="preserve"> (3rd ed.). GALILEO Open Learning Materials. </w:t>
      </w:r>
      <w:hyperlink r:id="rId23" w:history="1">
        <w:r>
          <w:rPr>
            <w:rFonts w:ascii="Times New Roman" w:hAnsi="Times New Roman" w:eastAsia="Times New Roman" w:cs="Times New Roman"/>
            <w:color w:val="0563C1"/>
            <w:sz w:val="24"/>
            <w:szCs w:val="24"/>
            <w:u w:val="single"/>
          </w:rPr>
          <w:t xml:space="preserve">https://oer.galileo.usg.edu/english-textbooks/8/</w:t>
        </w:r>
      </w:hyperlink>
    </w:p>
    <w:p>
      <w:pPr>
        <w:keepNext w:val="0"/>
        <w:widowControl/>
        <w:spacing w:line="480" w:lineRule="auto" w:before="0" w:after="0"/>
        <w:ind w:left="720" w:hanging="720"/>
        <w:jc w:val="left"/>
      </w:pPr>
      <w:r>
        <w:rPr>
          <w:rFonts w:ascii="Times New Roman" w:hAnsi="Times New Roman" w:eastAsia="Times New Roman" w:cs="Times New Roman"/>
          <w:b w:val="0"/>
          <w:i w:val="0"/>
          <w:sz w:val="24"/>
        </w:rPr>
        <w:t xml:space="preserve">The Writing Center. (n.d.). </w:t>
      </w:r>
      <w:r>
        <w:rPr>
          <w:rFonts w:ascii="Times New Roman" w:hAnsi="Times New Roman" w:eastAsia="Times New Roman" w:cs="Times New Roman"/>
          <w:b w:val="0"/>
          <w:i/>
          <w:sz w:val="24"/>
        </w:rPr>
        <w:t>Writing an abstract for your research paper</w:t>
      </w:r>
      <w:r>
        <w:rPr>
          <w:rFonts w:ascii="Times New Roman" w:hAnsi="Times New Roman" w:eastAsia="Times New Roman" w:cs="Times New Roman"/>
          <w:b w:val="0"/>
          <w:i w:val="0"/>
          <w:sz w:val="24"/>
        </w:rPr>
        <w:t xml:space="preserve">. University of Wisconsin–Madison. Retrieved October 28, 2026, from </w:t>
      </w:r>
      <w:hyperlink r:id="rId24" w:history="1">
        <w:r>
          <w:rPr>
            <w:rFonts w:ascii="Times New Roman" w:hAnsi="Times New Roman" w:eastAsia="Times New Roman" w:cs="Times New Roman"/>
            <w:color w:val="0563C1"/>
            <w:sz w:val="24"/>
            <w:szCs w:val="24"/>
            <w:u w:val="single"/>
          </w:rPr>
          <w:t xml:space="preserve">https://writing.wisc.edu/handbook/academicwriting/writing-an-abstract-for-your-research-paper/</w:t>
        </w:r>
      </w:hyperlink>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rFonts w:ascii="Times New Roman" w:hAnsi="Times New Roman" w:eastAsia="Times New Roman" w:cs="Times New Roman"/>
        <w:sz w:val="24"/>
      </w:rPr>
      <w:fldChar w:fldCharType="begin"/>
    </w:r>
    <w:r>
      <w:rPr>
        <w:rFonts w:ascii="Times New Roman" w:hAnsi="Times New Roman" w:eastAsia="Times New Roman" w:cs="Times New Roman"/>
        <w:sz w:val="24"/>
      </w:rPr>
      <w:instrText xml:space="preserve"> PAGE </w:instrText>
    </w:r>
    <w:r>
      <w:rPr>
        <w:rFonts w:ascii="Times New Roman" w:hAnsi="Times New Roman" w:eastAsia="Times New Roman" w:cs="Times New Roman"/>
        <w:sz w:val="24"/>
      </w:rPr>
      <w:fldChar w:fldCharType="separate"/>
    </w:r>
    <w:r>
      <w:rPr>
        <w:rFonts w:ascii="Times New Roman" w:hAnsi="Times New Roman" w:eastAsia="Times New Roman" w:cs="Times New Roman"/>
        <w:sz w:val="24"/>
      </w:rPr>
      <w:t>1</w:t>
    </w:r>
    <w:r>
      <w:rPr>
        <w:rFonts w:ascii="Times New Roman" w:hAnsi="Times New Roman" w:eastAsia="Times New Roman" w:cs="Times New Roman"/>
        <w:sz w:val="24"/>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jc w:val="center"/>
      <w:outlineLvl w:val="0"/>
    </w:pPr>
    <w:rPr>
      <w:rFonts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jc w:val="left"/>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doi.org/10.3390/computers14050185" TargetMode="External"/><Relationship Id="rId11" Type="http://schemas.openxmlformats.org/officeDocument/2006/relationships/hyperlink" Target="https://doi.org/10.1007/s10758-026-09998-z" TargetMode="External"/><Relationship Id="rId12" Type="http://schemas.openxmlformats.org/officeDocument/2006/relationships/hyperlink" Target="https://doi.org/10.3390/computers15030154" TargetMode="External"/><Relationship Id="rId13" Type="http://schemas.openxmlformats.org/officeDocument/2006/relationships/hyperlink" Target="https://www.scribbr.com/methodology/mixed-methods-research/" TargetMode="External"/><Relationship Id="rId14" Type="http://schemas.openxmlformats.org/officeDocument/2006/relationships/hyperlink" Target="https://www.scribbr.com/working-with-sources/credible-sources/" TargetMode="External"/><Relationship Id="rId15" Type="http://schemas.openxmlformats.org/officeDocument/2006/relationships/hyperlink" Target="https://oer.galileo.usg.edu/english-textbooks/14/" TargetMode="External"/><Relationship Id="rId16" Type="http://schemas.openxmlformats.org/officeDocument/2006/relationships/hyperlink" Target="https://doi.org/10.1145/3544548.3580919" TargetMode="External"/><Relationship Id="rId17" Type="http://schemas.openxmlformats.org/officeDocument/2006/relationships/hyperlink" Target="https://resources.nu.edu/researchtools/Problem" TargetMode="External"/><Relationship Id="rId18" Type="http://schemas.openxmlformats.org/officeDocument/2006/relationships/hyperlink" Target="https://resources.nu.edu/researchtools/samplingmethods" TargetMode="External"/><Relationship Id="rId19" Type="http://schemas.openxmlformats.org/officeDocument/2006/relationships/hyperlink" Target="https://doi.org/10.1145/3617367" TargetMode="External"/><Relationship Id="rId20" Type="http://schemas.openxmlformats.org/officeDocument/2006/relationships/hyperlink" Target="https://www.scribbr.com/research-process/research-objectives/" TargetMode="External"/><Relationship Id="rId21" Type="http://schemas.openxmlformats.org/officeDocument/2006/relationships/hyperlink" Target="https://oer.galileo.usg.edu/psychology-textbooks/12/" TargetMode="External"/><Relationship Id="rId22" Type="http://schemas.openxmlformats.org/officeDocument/2006/relationships/hyperlink" Target="https://doi.org/10.48550/arXiv.2601.20245" TargetMode="External"/><Relationship Id="rId23" Type="http://schemas.openxmlformats.org/officeDocument/2006/relationships/hyperlink" Target="https://oer.galileo.usg.edu/english-textbooks/8/" TargetMode="External"/><Relationship Id="rId24" Type="http://schemas.openxmlformats.org/officeDocument/2006/relationships/hyperlink" Target="https://writing.wisc.edu/handbook/academicwriting/writing-an-abstract-for-your-research-pap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16</Pages>
  <Words>3722</Words>
  <Characters>18121</Characters>
  <Application>Microsoft Office Word</Application>
  <DocSecurity>0</DocSecurity>
  <Lines>338</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Coding Assistants and CS1 Learning Outcomes: A Proposed Follow-Up Study</dc:title>
  <dc:subject/>
  <dc:creator>S M Wasir Jayed Rafi</dc:creator>
  <cp:keywords/>
  <dc:description/>
  <cp:lastModifiedBy>S M Wasir Jayed Rafi</cp:lastModifiedBy>
  <cp:revision>3</cp:revision>
  <dcterms:created xsi:type="dcterms:W3CDTF">2026-10-28T21:07:35Z</dcterms:created>
  <dcterms:modified xsi:type="dcterms:W3CDTF">2026-10-28T21:07:35Z</dcterms:modified>
  <cp:category/>
</cp:coreProperties>
</file>