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eastAsia="Times New Roman" w:cs="Times New Roman"/>
          <w:b/>
          <w:i w:val="0"/>
          <w:sz w:val="24"/>
        </w:rPr>
        <w:t>Where the Day Goes: Weekday Time Use of Full-Time College Students</w:t>
      </w:r>
    </w:p>
    <w:p>
      <w:pPr>
        <w:jc w:val="center"/>
      </w:pPr>
      <w:r>
        <w:rPr>
          <w:rFonts w:ascii="Times New Roman" w:hAnsi="Times New Roman" w:eastAsia="Times New Roman" w:cs="Times New Roman"/>
          <w:b w:val="0"/>
          <w:i w:val="0"/>
          <w:sz w:val="24"/>
        </w:rPr>
        <w:t>S M Wasir Jayed Rafi</w:t>
      </w:r>
    </w:p>
    <w:p>
      <w:pPr>
        <w:jc w:val="center"/>
      </w:pPr>
      <w:r>
        <w:rPr>
          <w:rFonts w:ascii="Times New Roman" w:hAnsi="Times New Roman" w:eastAsia="Times New Roman" w:cs="Times New Roman"/>
          <w:b w:val="0"/>
          <w:i w:val="0"/>
          <w:sz w:val="24"/>
        </w:rPr>
        <w:t>ENGL 1102-01: English Composition 2</w:t>
      </w:r>
    </w:p>
    <w:p>
      <w:pPr>
        <w:jc w:val="center"/>
      </w:pPr>
      <w:r>
        <w:rPr>
          <w:rFonts w:ascii="Times New Roman" w:hAnsi="Times New Roman" w:eastAsia="Times New Roman" w:cs="Times New Roman"/>
          <w:b w:val="0"/>
          <w:i w:val="0"/>
          <w:sz w:val="24"/>
        </w:rPr>
        <w:t>Aparna Rajith</w:t>
      </w:r>
    </w:p>
    <w:p>
      <w:pPr>
        <w:jc w:val="center"/>
      </w:pPr>
      <w:r>
        <w:rPr>
          <w:rFonts w:ascii="Times New Roman" w:hAnsi="Times New Roman" w:eastAsia="Times New Roman" w:cs="Times New Roman"/>
          <w:b w:val="0"/>
          <w:i w:val="0"/>
          <w:sz w:val="24"/>
        </w:rPr>
        <w:t>October 14, 2026</w:t>
      </w:r>
    </w:p>
    <w:p>
      <w:pPr>
        <w:pageBreakBefore/>
        <w:jc w:val="center"/>
      </w:pPr>
      <w:r>
        <w:rPr>
          <w:rFonts w:ascii="Times New Roman" w:hAnsi="Times New Roman" w:eastAsia="Times New Roman" w:cs="Times New Roman"/>
          <w:b/>
          <w:i w:val="0"/>
          <w:sz w:val="24"/>
        </w:rPr>
        <w:t>Where the Day Goes: Weekday Time Use of Full-Time College Students</w:t>
      </w:r>
    </w:p>
    <w:p>
      <w:pPr>
        <w:jc w:val="center"/>
      </w:pPr>
      <w:r>
        <w:rPr>
          <w:rFonts w:ascii="Times New Roman" w:hAnsi="Times New Roman" w:eastAsia="Times New Roman" w:cs="Times New Roman"/>
          <w:b/>
          <w:i w:val="0"/>
          <w:sz w:val="24"/>
        </w:rPr>
        <w:t>Overview</w:t>
      </w:r>
    </w:p>
    <w:p>
      <w:pPr>
        <w:ind w:firstLine="720"/>
      </w:pPr>
      <w:r>
        <w:rPr>
          <w:rFonts w:ascii="Times New Roman" w:hAnsi="Times New Roman" w:eastAsia="Times New Roman" w:cs="Times New Roman"/>
          <w:b w:val="0"/>
          <w:i w:val="0"/>
          <w:sz w:val="24"/>
        </w:rPr>
        <w:t>Every student gets the same 24 hours, but the pie chart from the U.S. Bureau of Labor Statistics (BLS, 2018) shows how students actually divide them. The chart comes from the American Time Use Survey and reports average hours on a non-holiday weekday for students aged 15 to 49, using data from 2011 to 2015. Its eight categories add up to exactly 24.0 hours. Because a government agency produced the figures, they are a credible starting point, but they are more than ten years old and describe students of that period. Boise State’s guidance on executive summaries asks for plain language and a closing recommendation (College of Business and Economics, 2024). This report follows that advice, moving from findings to interpretation to limitations before ending with a recommendation.</w:t>
      </w:r>
    </w:p>
    <w:p>
      <w:pPr>
        <w:jc w:val="center"/>
      </w:pPr>
      <w:r>
        <w:rPr>
          <w:rFonts w:ascii="Times New Roman" w:hAnsi="Times New Roman" w:eastAsia="Times New Roman" w:cs="Times New Roman"/>
          <w:b/>
          <w:i w:val="0"/>
          <w:sz w:val="24"/>
        </w:rPr>
        <w:t>Findings</w:t>
      </w:r>
    </w:p>
    <w:p>
      <w:pPr>
        <w:ind w:firstLine="720"/>
      </w:pPr>
      <w:r>
        <w:rPr>
          <w:rFonts w:ascii="Times New Roman" w:hAnsi="Times New Roman" w:eastAsia="Times New Roman" w:cs="Times New Roman"/>
          <w:b w:val="0"/>
          <w:i w:val="0"/>
          <w:sz w:val="24"/>
        </w:rPr>
        <w:t>The chart is easy to read: every slice carries its own label and hours, and the footnote and source credit explain who is counted and where the data came from. Because slice size follows hours, a bigger slice simply means a larger part of the day. Sleeping takes the largest share by a wide margin: 8.8 hours, or 36.7%. Next comes leisure and sports at 4.0 hours (16.7%), then educational activities at 3.5 hours (14.6%). Working and related activities average 2.3 hours (9.6%), and the “Other” category adds 2.2 hours (9.2%). Traveling takes 1.4 hours (5.8%), eating and drinking 1.0 hour (4.2%), and grooming 0.8 hour (3.3%), the smallest slice. The percentages are calculated from the printed hours and rounded, so they may total slightly over 100; the BLS doesn’t report them.</w:t>
      </w:r>
    </w:p>
    <w:p>
      <w:pPr>
        <w:jc w:val="center"/>
      </w:pPr>
      <w:r>
        <w:rPr>
          <w:rFonts w:ascii="Times New Roman" w:hAnsi="Times New Roman" w:eastAsia="Times New Roman" w:cs="Times New Roman"/>
          <w:b/>
          <w:i w:val="0"/>
          <w:sz w:val="24"/>
        </w:rPr>
        <w:t>Interpretation</w:t>
      </w:r>
    </w:p>
    <w:p>
      <w:pPr>
        <w:ind w:firstLine="720"/>
      </w:pPr>
      <w:r>
        <w:rPr>
          <w:rFonts w:ascii="Times New Roman" w:hAnsi="Times New Roman" w:eastAsia="Times New Roman" w:cs="Times New Roman"/>
          <w:b w:val="0"/>
          <w:i w:val="0"/>
          <w:sz w:val="24"/>
        </w:rPr>
        <w:t>Leisure and sports edge out educational activities by half an hour, which may surprise anyone who pictures college as nonstop studying. The picture changes once work is added. Education and work together come to 5.8 hours, about 24% of the full day and 38% of the 15.2 hours students spend awake, while leisure and sports make up only 26% of waking time. Leisure is bigger than either obligation alone, but the two obligations combined take more of the waking day than free time does. Eating and drinking, grooming, and traveling together use another 3.2 hours, about 13% of the day, which is close to the time spent on educational activities.</w:t>
      </w:r>
    </w:p>
    <w:p>
      <w:pPr>
        <w:ind w:firstLine="720"/>
      </w:pPr>
      <w:r>
        <w:rPr>
          <w:rFonts w:ascii="Times New Roman" w:hAnsi="Times New Roman" w:eastAsia="Times New Roman" w:cs="Times New Roman"/>
          <w:b w:val="0"/>
          <w:i w:val="0"/>
          <w:sz w:val="24"/>
        </w:rPr>
        <w:t>Sleep deserves its own note. At 8.8 hours, the average student sleeps well above the seven-hour minimum that the Centers for Disease Control and Prevention (CDC, 2024) recommends for adults aged 18 to 60, and within its 8-to-10-hour range for teens aged 13 to 17. On average, then, sleep isn’t the activity that gets squeezed on a weekday. The “Other” slice is harder to read. It holds 2.2 hours, about 9% of the day, under a label too broad to say what students were doing.</w:t>
      </w:r>
    </w:p>
    <w:p>
      <w:pPr>
        <w:jc w:val="center"/>
      </w:pPr>
      <w:r>
        <w:rPr>
          <w:rFonts w:ascii="Times New Roman" w:hAnsi="Times New Roman" w:eastAsia="Times New Roman" w:cs="Times New Roman"/>
          <w:b/>
          <w:i w:val="0"/>
          <w:sz w:val="24"/>
        </w:rPr>
        <w:t>Limitations</w:t>
      </w:r>
    </w:p>
    <w:p>
      <w:pPr>
        <w:ind w:firstLine="720"/>
      </w:pPr>
      <w:r>
        <w:rPr>
          <w:rFonts w:ascii="Times New Roman" w:hAnsi="Times New Roman" w:eastAsia="Times New Roman" w:cs="Times New Roman"/>
          <w:b w:val="0"/>
          <w:i w:val="0"/>
          <w:sz w:val="24"/>
        </w:rPr>
        <w:t>Serdikoff (2021) describes percentages and means as descriptive statistics that summarize data, and says measures of dispersion, such as the standard deviation, show how spread out scores are (p. 174). This chart gives averages only, so individual differences stay hidden. A 2.3-hour work average, for example, could cover students who don’t work at all alongside students who work long days. Serdikoff adds that inferential statistics are what let researchers generalize from a sample to a population (p. 176), yet the chart reports no such tests. The chart’s note also limits the data to students enrolled full time, so the figures shouldn’t be applied to part-time students.</w:t>
      </w:r>
    </w:p>
    <w:p>
      <w:pPr>
        <w:jc w:val="center"/>
      </w:pPr>
      <w:r>
        <w:rPr>
          <w:rFonts w:ascii="Times New Roman" w:hAnsi="Times New Roman" w:eastAsia="Times New Roman" w:cs="Times New Roman"/>
          <w:b/>
          <w:i w:val="0"/>
          <w:sz w:val="24"/>
        </w:rPr>
        <w:t>Recommendation</w:t>
      </w:r>
    </w:p>
    <w:p>
      <w:pPr>
        <w:ind w:firstLine="720"/>
      </w:pPr>
      <w:r>
        <w:rPr>
          <w:rFonts w:ascii="Times New Roman" w:hAnsi="Times New Roman" w:eastAsia="Times New Roman" w:cs="Times New Roman"/>
          <w:b w:val="0"/>
          <w:i w:val="0"/>
          <w:sz w:val="24"/>
        </w:rPr>
        <w:t>Students planning a heavier course load should trim leisure time before sleep. Leisure and sports hold the largest flexible block of the day at 4.0 hours, while adequate sleep supports health (CDC, 2024).</w:t>
      </w:r>
    </w:p>
    <w:p>
      <w:pPr>
        <w:pageBreakBefore/>
        <w:jc w:val="center"/>
      </w:pPr>
      <w:r>
        <w:rPr>
          <w:rFonts w:ascii="Times New Roman" w:hAnsi="Times New Roman" w:eastAsia="Times New Roman" w:cs="Times New Roman"/>
          <w:b/>
          <w:i w:val="0"/>
          <w:sz w:val="24"/>
        </w:rPr>
        <w:t>References</w:t>
      </w:r>
    </w:p>
    <w:p>
      <w:pPr>
        <w:ind w:left="720" w:hanging="720"/>
      </w:pPr>
      <w:r>
        <w:rPr>
          <w:rFonts w:ascii="Times New Roman" w:hAnsi="Times New Roman" w:eastAsia="Times New Roman" w:cs="Times New Roman"/>
          <w:b w:val="0"/>
          <w:i w:val="0"/>
          <w:sz w:val="24"/>
        </w:rPr>
        <w:t xml:space="preserve">Centers for Disease Control and Prevention. (2024, May 15). </w:t>
      </w:r>
      <w:r>
        <w:rPr>
          <w:rFonts w:ascii="Times New Roman" w:hAnsi="Times New Roman" w:eastAsia="Times New Roman" w:cs="Times New Roman"/>
          <w:b w:val="0"/>
          <w:i/>
          <w:sz w:val="24"/>
        </w:rPr>
        <w:t>About sleep</w:t>
      </w:r>
      <w:r>
        <w:rPr>
          <w:rFonts w:ascii="Times New Roman" w:hAnsi="Times New Roman" w:eastAsia="Times New Roman" w:cs="Times New Roman"/>
          <w:b w:val="0"/>
          <w:i w:val="0"/>
          <w:sz w:val="24"/>
        </w:rPr>
        <w:t xml:space="preserve">. </w:t>
      </w:r>
      <w:hyperlink r:id="rId10" w:history="1">
        <w:r>
          <w:rPr>
            <w:rFonts w:ascii="Times New Roman" w:hAnsi="Times New Roman" w:eastAsia="Times New Roman" w:cs="Times New Roman"/>
            <w:sz w:val="24"/>
            <w:color w:val="0563C1"/>
            <w:u w:val="single"/>
          </w:rPr>
          <w:t>https://www.cdc.gov/sleep/about/index.html</w:t>
        </w:r>
      </w:hyperlink>
    </w:p>
    <w:p>
      <w:pPr>
        <w:ind w:left="720" w:hanging="720"/>
      </w:pPr>
      <w:r>
        <w:rPr>
          <w:rFonts w:ascii="Times New Roman" w:hAnsi="Times New Roman" w:eastAsia="Times New Roman" w:cs="Times New Roman"/>
          <w:b w:val="0"/>
          <w:i w:val="0"/>
          <w:sz w:val="24"/>
        </w:rPr>
        <w:t xml:space="preserve">College of Business and Economics. (2024, November 1). </w:t>
      </w:r>
      <w:r>
        <w:rPr>
          <w:rFonts w:ascii="Times New Roman" w:hAnsi="Times New Roman" w:eastAsia="Times New Roman" w:cs="Times New Roman"/>
          <w:b w:val="0"/>
          <w:i/>
          <w:sz w:val="24"/>
        </w:rPr>
        <w:t>Guidelines for reports</w:t>
      </w:r>
      <w:r>
        <w:rPr>
          <w:rFonts w:ascii="Times New Roman" w:hAnsi="Times New Roman" w:eastAsia="Times New Roman" w:cs="Times New Roman"/>
          <w:b w:val="0"/>
          <w:i w:val="0"/>
          <w:sz w:val="24"/>
        </w:rPr>
        <w:t xml:space="preserve">. Boise State University. </w:t>
      </w:r>
      <w:hyperlink r:id="rId11" w:history="1">
        <w:r>
          <w:rPr>
            <w:rFonts w:ascii="Times New Roman" w:hAnsi="Times New Roman" w:eastAsia="Times New Roman" w:cs="Times New Roman"/>
            <w:sz w:val="24"/>
            <w:color w:val="0563C1"/>
            <w:u w:val="single"/>
          </w:rPr>
          <w:t>https://www.boisestate.edu/cobe/cobe-writing-style-guide/guidelines-for-reports/</w:t>
        </w:r>
      </w:hyperlink>
    </w:p>
    <w:p>
      <w:pPr>
        <w:ind w:left="720" w:hanging="720"/>
      </w:pPr>
      <w:r>
        <w:rPr>
          <w:rFonts w:ascii="Times New Roman" w:hAnsi="Times New Roman" w:eastAsia="Times New Roman" w:cs="Times New Roman"/>
          <w:b w:val="0"/>
          <w:i w:val="0"/>
          <w:sz w:val="24"/>
        </w:rPr>
        <w:t xml:space="preserve">Serdikoff, S. L. (2021). </w:t>
      </w:r>
      <w:r>
        <w:rPr>
          <w:rFonts w:ascii="Times New Roman" w:hAnsi="Times New Roman" w:eastAsia="Times New Roman" w:cs="Times New Roman"/>
          <w:b w:val="0"/>
          <w:i/>
          <w:sz w:val="24"/>
        </w:rPr>
        <w:t>Research methods for the behavioral sciences</w:t>
      </w:r>
      <w:r>
        <w:rPr>
          <w:rFonts w:ascii="Times New Roman" w:hAnsi="Times New Roman" w:eastAsia="Times New Roman" w:cs="Times New Roman"/>
          <w:b w:val="0"/>
          <w:i w:val="0"/>
          <w:sz w:val="24"/>
        </w:rPr>
        <w:t xml:space="preserve"> (5th ed.). GALILEO Open Learning Materials. </w:t>
      </w:r>
      <w:hyperlink r:id="rId12" w:history="1">
        <w:r>
          <w:rPr>
            <w:rFonts w:ascii="Times New Roman" w:hAnsi="Times New Roman" w:eastAsia="Times New Roman" w:cs="Times New Roman"/>
            <w:sz w:val="24"/>
            <w:color w:val="0563C1"/>
            <w:u w:val="single"/>
          </w:rPr>
          <w:t>https://oer.galileo.usg.edu/psychology-textbooks/12/</w:t>
        </w:r>
      </w:hyperlink>
    </w:p>
    <w:p>
      <w:pPr>
        <w:ind w:left="720" w:hanging="720"/>
      </w:pPr>
      <w:r>
        <w:rPr>
          <w:rFonts w:ascii="Times New Roman" w:hAnsi="Times New Roman" w:eastAsia="Times New Roman" w:cs="Times New Roman"/>
          <w:b w:val="0"/>
          <w:i w:val="0"/>
          <w:sz w:val="24"/>
        </w:rPr>
        <w:t xml:space="preserve">U.S. Bureau of Labor Statistics. (2018, June 22). </w:t>
      </w:r>
      <w:r>
        <w:rPr>
          <w:rFonts w:ascii="Times New Roman" w:hAnsi="Times New Roman" w:eastAsia="Times New Roman" w:cs="Times New Roman"/>
          <w:b w:val="0"/>
          <w:i/>
          <w:sz w:val="24"/>
        </w:rPr>
        <w:t>How do you spend your time?: Analyzing a pie chart</w:t>
      </w:r>
      <w:r>
        <w:rPr>
          <w:rFonts w:ascii="Times New Roman" w:hAnsi="Times New Roman" w:eastAsia="Times New Roman" w:cs="Times New Roman"/>
          <w:b w:val="0"/>
          <w:i w:val="0"/>
          <w:sz w:val="24"/>
        </w:rPr>
        <w:t xml:space="preserve">. </w:t>
      </w:r>
      <w:hyperlink r:id="rId13" w:history="1">
        <w:r>
          <w:rPr>
            <w:rFonts w:ascii="Times New Roman" w:hAnsi="Times New Roman" w:eastAsia="Times New Roman" w:cs="Times New Roman"/>
            <w:sz w:val="24"/>
            <w:color w:val="0563C1"/>
            <w:u w:val="single"/>
          </w:rPr>
          <w:t>https://www.bls.gov/k12/teachers/activities/how-do-you-spend-your-time-analyzing-chart.htm</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right"/>
    </w:pPr>
    <w:r>
      <w:rPr>
        <w:rFonts w:ascii="Times New Roman" w:hAnsi="Times New Roman" w:eastAsia="Times New Roman" w:cs="Times New Roman"/>
        <w:b w:val="0"/>
        <w:i w:val="0"/>
        <w:sz w:val="24"/>
      </w:rPr>
      <w:fldChar w:fldCharType="begin"/>
      <w:instrText xml:space="preserve"> PAGE </w:instrText>
      <w:fldChar w:fldCharType="separate"/>
      <w:t>1</w: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yperlink" Target="https://www.cdc.gov/sleep/about/index.html" TargetMode="External"/><Relationship Id="rId11" Type="http://schemas.openxmlformats.org/officeDocument/2006/relationships/hyperlink" Target="https://www.boisestate.edu/cobe/cobe-writing-style-guide/guidelines-for-reports/" TargetMode="External"/><Relationship Id="rId12" Type="http://schemas.openxmlformats.org/officeDocument/2006/relationships/hyperlink" Target="https://oer.galileo.usg.edu/psychology-textbooks/12/" TargetMode="External"/><Relationship Id="rId13" Type="http://schemas.openxmlformats.org/officeDocument/2006/relationships/hyperlink" Target="https://www.bls.gov/k12/teachers/activities/how-do-you-spend-your-time-analyzing-chart.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Pages>
  <Words>700</Words>
  <Characters>3823</Characters>
  <Application>Microsoft Office Word</Application>
  <DocSecurity>0</DocSecurity>
  <Lines>65</Lines>
  <Paragraphs>30</Paragraphs>
  <ScaleCrop>false</ScaleCrop>
  <Company/>
  <LinksUpToDate>false</LinksUpToDate>
  <CharactersWithSpaces>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Wasir Jayed Rafi</dc:creator>
  <cp:keywords/>
  <dc:description/>
  <cp:lastModifiedBy>S M Wasir Jayed Rafi</cp:lastModifiedBy>
  <cp:revision>1</cp:revision>
  <dcterms:created xsi:type="dcterms:W3CDTF">2026-10-14T17:54:17Z</dcterms:created>
  <dcterms:modified xsi:type="dcterms:W3CDTF">2026-10-14T18:46:17Z</dcterms:modified>
  <cp:category/>
</cp:coreProperties>
</file>