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Kendall's tau_b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