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Part 2 — Transformations, Modeling and Medallion Architecture</w:t>
      </w:r>
    </w:p>
    <w:p>
      <w:r>
        <w:rPr>
          <w:sz w:val="22"/>
        </w:rPr>
        <w:t>Based on the issues found during profiling (Part 1), here are the transformations we would apply to go from raw data (Bronze) to clean, usable data (Silver), and then to an analytical model (Gold). The transformations are described simply here, without actually running them.</w:t>
      </w:r>
    </w:p>
    <w:p>
      <w:pPr>
        <w:pStyle w:val="Heading1"/>
      </w:pPr>
      <w:r>
        <w:t>1. Planned transformations (Silver layer)</w:t>
      </w:r>
    </w:p>
    <w:tbl>
      <w:tblPr>
        <w:tblStyle w:val="LightGrid-Accent1"/>
        <w:tblW w:type="auto" w:w="0"/>
        <w:tblLook w:firstColumn="1" w:firstRow="1" w:lastColumn="0" w:lastRow="0" w:noHBand="0" w:noVBand="1" w:val="04A0"/>
      </w:tblPr>
      <w:tblGrid>
        <w:gridCol w:w="4320"/>
        <w:gridCol w:w="4320"/>
      </w:tblGrid>
      <w:tr>
        <w:tc>
          <w:tcPr>
            <w:tcW w:type="dxa" w:w="4320"/>
          </w:tcPr>
          <w:p>
            <w:r>
              <w:rPr>
                <w:b/>
              </w:rPr>
              <w:t>Issue found (Part 1)</w:t>
            </w:r>
          </w:p>
        </w:tc>
        <w:tc>
          <w:tcPr>
            <w:tcW w:type="dxa" w:w="4320"/>
          </w:tcPr>
          <w:p>
            <w:r>
              <w:rPr>
                <w:b/>
              </w:rPr>
              <w:t>Transformation to apply</w:t>
            </w:r>
          </w:p>
        </w:tc>
      </w:tr>
      <w:tr>
        <w:tc>
          <w:tcPr>
            <w:tcW w:type="dxa" w:w="4320"/>
          </w:tcPr>
          <w:p>
            <w:r>
              <w:t>Swapped latitude / longitude (9 cases: Mayotte, Haute-Corse) — the point lands in the middle of the sea</w:t>
            </w:r>
          </w:p>
        </w:tc>
        <w:tc>
          <w:tcPr>
            <w:tcW w:type="dxa" w:w="4320"/>
          </w:tcPr>
          <w:p>
            <w:r>
              <w:t>Detect coordinates outside any French territory; if swapping them puts the point back in France, swap them; otherwise set them to blank (to be geocoded later).</w:t>
            </w:r>
          </w:p>
        </w:tc>
      </w:tr>
      <w:tr>
        <w:tc>
          <w:tcPr>
            <w:tcW w:type="dxa" w:w="4320"/>
          </w:tcPr>
          <w:p>
            <w:r>
              <w:t>vma (max speed) with impossible values, up to 900 km/h</w:t>
            </w:r>
          </w:p>
        </w:tc>
        <w:tc>
          <w:tcPr>
            <w:tcW w:type="dxa" w:w="4320"/>
          </w:tcPr>
          <w:p>
            <w:r>
              <w:t>Keep only the legal range 5–130 km/h; values outside this range are set to blank.</w:t>
            </w:r>
          </w:p>
        </w:tc>
      </w:tr>
      <w:tr>
        <w:tc>
          <w:tcPr>
            <w:tcW w:type="dxa" w:w="4320"/>
          </w:tcPr>
          <w:p>
            <w:r>
              <w:t>The lieux table has no primary key (several rows per accident at intersections)</w:t>
            </w:r>
          </w:p>
        </w:tc>
        <w:tc>
          <w:tcPr>
            <w:tcW w:type="dxa" w:w="4320"/>
          </w:tcPr>
          <w:p>
            <w:r>
              <w:t>Create a key, or keep a single row per accident (the main road), so as not to count the same accident several times when joining tables.</w:t>
            </w:r>
          </w:p>
        </w:tc>
      </w:tr>
      <w:tr>
        <w:tc>
          <w:tcPr>
            <w:tcW w:type="dxa" w:w="4320"/>
          </w:tcPr>
          <w:p>
            <w:r>
              <w:t>Missing values coded as « -1 » (not filled in)</w:t>
            </w:r>
          </w:p>
        </w:tc>
        <w:tc>
          <w:tcPr>
            <w:tcW w:type="dxa" w:w="4320"/>
          </w:tcPr>
          <w:p>
            <w:r>
              <w:t>Recode them as « Unknown », or as « Not applicable » when that's the normal case (e.g. pedestrian fields for a driver), instead of treating them as the number -1.</w:t>
            </w:r>
          </w:p>
        </w:tc>
      </w:tr>
      <w:tr>
        <w:tc>
          <w:tcPr>
            <w:tcW w:type="dxa" w:w="4320"/>
          </w:tcPr>
          <w:p>
            <w:r>
              <w:t>2 strictly duplicated rows in lieux</w:t>
            </w:r>
          </w:p>
        </w:tc>
        <w:tc>
          <w:tcPr>
            <w:tcW w:type="dxa" w:w="4320"/>
          </w:tcPr>
          <w:p>
            <w:r>
              <w:t>Deduplication: remove the exact duplicates.</w:t>
            </w:r>
          </w:p>
        </w:tc>
      </w:tr>
      <w:tr>
        <w:tc>
          <w:tcPr>
            <w:tcW w:type="dxa" w:w="4320"/>
          </w:tcPr>
          <w:p>
            <w:r>
              <w:t>Inconsistent formats: date split across 3 columns, hard-to-read numeric codes</w:t>
            </w:r>
          </w:p>
        </w:tc>
        <w:tc>
          <w:tcPr>
            <w:tcW w:type="dxa" w:w="4320"/>
          </w:tcPr>
          <w:p>
            <w:r>
              <w:t>Standardize: rebuild a real date (year/month/day), replace codes with readable labels (e.g. grav 2 → « Killed »).</w:t>
            </w:r>
          </w:p>
        </w:tc>
      </w:tr>
      <w:tr>
        <w:tc>
          <w:tcPr>
            <w:tcW w:type="dxa" w:w="4320"/>
          </w:tcPr>
          <w:p>
            <w:r>
              <w:t>Missing variables that would be directly useful for analysis</w:t>
            </w:r>
          </w:p>
        </w:tc>
        <w:tc>
          <w:tcPr>
            <w:tcW w:type="dxa" w:w="4320"/>
          </w:tcPr>
          <w:p>
            <w:r>
              <w:t>Enrich: add age and age group, time-of-day period, weekend flag, and « killed » / « severely injured » indicators.</w:t>
            </w:r>
          </w:p>
        </w:tc>
      </w:tr>
    </w:tbl>
    <w:p>
      <w:pPr>
        <w:pStyle w:val="Heading1"/>
      </w:pPr>
      <w:r>
        <w:t>2. Analytical model (Gold layer)</w:t>
      </w:r>
    </w:p>
    <w:p>
      <w:r>
        <w:t>We organize the clean data into a star schema, simple to query for BI:</w:t>
      </w:r>
    </w:p>
    <w:p>
      <w:pPr>
        <w:pStyle w:val="ListBullet"/>
      </w:pPr>
      <w:r>
        <w:t>fact_users (fact table) — 1 row per person involved: severity, age, sex, killed/severe indicators, and the keys to the dimensions.</w:t>
      </w:r>
    </w:p>
    <w:p>
      <w:pPr>
        <w:pStyle w:val="ListBullet"/>
      </w:pPr>
      <w:r>
        <w:t>dim_accident (dimension) — 1 row per accident: date, time period, weather, light conditions, urban area, department, road type, max speed, coordinates.</w:t>
      </w:r>
    </w:p>
    <w:p>
      <w:pPr>
        <w:pStyle w:val="ListBullet"/>
      </w:pPr>
      <w:r>
        <w:t>dim_vehicle (dimension) — 1 row per vehicle: category (car, two-wheeler, heavy truck…), maneuver.</w:t>
      </w:r>
    </w:p>
    <w:p>
      <w:r>
        <w:t>We chose the « user » grain for the fact table because severity is measured per person; this makes it easy to cross-analyze with the time, the location and the type of vehicle.</w:t>
      </w:r>
    </w:p>
    <w:p>
      <w:r>
        <w:t>Cardinality: each dim_accident row can relate to several fact_users rows (one accident, several people involved) — a 1-to-N relationship. Same for dim_vehicle to fact_users (one vehicle, several occupants): 1-to-N as well.</w:t>
      </w:r>
    </w:p>
    <w:p>
      <w:pPr>
        <w:pStyle w:val="Heading1"/>
      </w:pPr>
      <w:r>
        <w:t>3. Medallion Architecture (Bronze → Silver → Gold → BI)</w:t>
      </w:r>
    </w:p>
    <w:p>
      <w:r>
        <w:t>The pipeline follows the layers seen in class: the raw files (Bronze) are cleaned and enriched (Silver), then assembled into a star schema (Gold) consumed by the dashboard (BI).</w:t>
      </w:r>
    </w:p>
    <w:p>
      <w:pPr>
        <w:jc w:val="center"/>
      </w:pPr>
      <w:r>
        <w:drawing>
          <wp:inline xmlns:a="http://schemas.openxmlformats.org/drawingml/2006/main" xmlns:pic="http://schemas.openxmlformats.org/drawingml/2006/picture">
            <wp:extent cx="5760720" cy="2856875"/>
            <wp:docPr id="1" name="Picture 1"/>
            <wp:cNvGraphicFramePr>
              <a:graphicFrameLocks noChangeAspect="1"/>
            </wp:cNvGraphicFramePr>
            <a:graphic>
              <a:graphicData uri="http://schemas.openxmlformats.org/drawingml/2006/picture">
                <pic:pic>
                  <pic:nvPicPr>
                    <pic:cNvPr id="0" name="medallion_architecture.png"/>
                    <pic:cNvPicPr/>
                  </pic:nvPicPr>
                  <pic:blipFill>
                    <a:blip r:embed="rId9"/>
                    <a:stretch>
                      <a:fillRect/>
                    </a:stretch>
                  </pic:blipFill>
                  <pic:spPr>
                    <a:xfrm>
                      <a:off x="0" y="0"/>
                      <a:ext cx="5760720" cy="2856875"/>
                    </a:xfrm>
                    <a:prstGeom prst="rect"/>
                  </pic:spPr>
                </pic:pic>
              </a:graphicData>
            </a:graphic>
          </wp:inline>
        </w:drawing>
      </w:r>
    </w:p>
    <w:p>
      <w:pPr>
        <w:pStyle w:val="Heading1"/>
      </w:pPr>
      <w:r>
        <w:t>4. Justification of choices</w:t>
      </w:r>
    </w:p>
    <w:p>
      <w:r>
        <w:t>Splitting the pipeline into Bronze / Silver / Gold clearly separates the raw data (traceable, never modified), the cleaned data (documented corrections) and the model ready for analysis. This keeps the pipeline readable, reproducible, and easy to evolve (for example for another year of data). The star schema keeps queries simple for the BI / dashboard part.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