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F6C" w:rsidRDefault="009E2F6C">
      <w:pPr>
        <w:pStyle w:val="BodyText"/>
        <w:spacing w:before="5"/>
        <w:ind w:left="0"/>
        <w:rPr>
          <w:rFonts w:ascii="Times New Roman"/>
          <w:sz w:val="4"/>
        </w:rPr>
      </w:pPr>
    </w:p>
    <w:tbl>
      <w:tblPr>
        <w:tblW w:w="0" w:type="auto"/>
        <w:tblInd w:w="100" w:type="dxa"/>
        <w:tblLayout w:type="fixed"/>
        <w:tblCellMar>
          <w:left w:w="0" w:type="dxa"/>
          <w:right w:w="0" w:type="dxa"/>
        </w:tblCellMar>
        <w:tblLook w:val="01E0" w:firstRow="1" w:lastRow="1" w:firstColumn="1" w:lastColumn="1" w:noHBand="0" w:noVBand="0"/>
      </w:tblPr>
      <w:tblGrid>
        <w:gridCol w:w="5702"/>
      </w:tblGrid>
      <w:tr w:rsidR="009E2F6C">
        <w:trPr>
          <w:trHeight w:val="1868"/>
        </w:trPr>
        <w:tc>
          <w:tcPr>
            <w:tcW w:w="5702" w:type="dxa"/>
          </w:tcPr>
          <w:p w:rsidR="009E2F6C" w:rsidRDefault="009E2F6C">
            <w:pPr>
              <w:pStyle w:val="TableParagraph"/>
              <w:spacing w:before="0"/>
              <w:ind w:left="0"/>
              <w:rPr>
                <w:rFonts w:ascii="Times New Roman"/>
                <w:sz w:val="34"/>
              </w:rPr>
            </w:pPr>
          </w:p>
          <w:p w:rsidR="009E2F6C" w:rsidRDefault="009E2F6C">
            <w:pPr>
              <w:pStyle w:val="TableParagraph"/>
              <w:spacing w:before="0"/>
              <w:ind w:left="0"/>
              <w:rPr>
                <w:rFonts w:ascii="Times New Roman"/>
                <w:sz w:val="34"/>
              </w:rPr>
            </w:pPr>
          </w:p>
          <w:p w:rsidR="009E2F6C" w:rsidRDefault="009E2F6C">
            <w:pPr>
              <w:pStyle w:val="TableParagraph"/>
              <w:spacing w:before="0"/>
              <w:ind w:left="0"/>
              <w:rPr>
                <w:rFonts w:ascii="Times New Roman"/>
                <w:sz w:val="34"/>
              </w:rPr>
            </w:pPr>
          </w:p>
          <w:p w:rsidR="009E2F6C" w:rsidRDefault="009E2F6C">
            <w:pPr>
              <w:pStyle w:val="TableParagraph"/>
              <w:spacing w:before="3"/>
              <w:ind w:left="0"/>
              <w:rPr>
                <w:rFonts w:ascii="Times New Roman"/>
                <w:sz w:val="32"/>
              </w:rPr>
            </w:pPr>
          </w:p>
          <w:p w:rsidR="009E2F6C" w:rsidRDefault="00407B5B">
            <w:pPr>
              <w:pStyle w:val="TableParagraph"/>
              <w:spacing w:before="0" w:line="304" w:lineRule="exact"/>
              <w:ind w:left="2902"/>
              <w:rPr>
                <w:sz w:val="30"/>
              </w:rPr>
            </w:pPr>
            <w:r>
              <w:rPr>
                <w:sz w:val="30"/>
              </w:rPr>
              <w:t xml:space="preserve">Mahmoud </w:t>
            </w:r>
            <w:proofErr w:type="spellStart"/>
            <w:r>
              <w:rPr>
                <w:sz w:val="30"/>
              </w:rPr>
              <w:t>Abourich</w:t>
            </w:r>
            <w:proofErr w:type="spellEnd"/>
          </w:p>
        </w:tc>
      </w:tr>
      <w:tr w:rsidR="009E2F6C">
        <w:trPr>
          <w:trHeight w:val="313"/>
        </w:trPr>
        <w:tc>
          <w:tcPr>
            <w:tcW w:w="5702" w:type="dxa"/>
          </w:tcPr>
          <w:p w:rsidR="009E2F6C" w:rsidRDefault="009E2F6C">
            <w:pPr>
              <w:pStyle w:val="TableParagraph"/>
              <w:spacing w:before="0"/>
              <w:ind w:left="0"/>
              <w:rPr>
                <w:rFonts w:ascii="Times New Roman"/>
                <w:sz w:val="20"/>
              </w:rPr>
            </w:pPr>
          </w:p>
        </w:tc>
      </w:tr>
    </w:tbl>
    <w:p w:rsidR="009E2F6C" w:rsidRDefault="00407B5B">
      <w:pPr>
        <w:spacing w:before="59"/>
        <w:ind w:left="300"/>
        <w:jc w:val="both"/>
        <w:rPr>
          <w:sz w:val="30"/>
        </w:rPr>
      </w:pPr>
      <w:r>
        <w:rPr>
          <w:noProof/>
        </w:rPr>
        <w:drawing>
          <wp:anchor distT="0" distB="0" distL="0" distR="0" simplePos="0" relativeHeight="268427327" behindDoc="1" locked="0" layoutInCell="1" allowOverlap="1">
            <wp:simplePos x="0" y="0"/>
            <wp:positionH relativeFrom="page">
              <wp:posOffset>914400</wp:posOffset>
            </wp:positionH>
            <wp:positionV relativeFrom="paragraph">
              <wp:posOffset>-1385318</wp:posOffset>
            </wp:positionV>
            <wp:extent cx="1523746" cy="137207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3746" cy="1372076"/>
                    </a:xfrm>
                    <a:prstGeom prst="rect">
                      <a:avLst/>
                    </a:prstGeom>
                  </pic:spPr>
                </pic:pic>
              </a:graphicData>
            </a:graphic>
          </wp:anchor>
        </w:drawing>
      </w:r>
      <w:r>
        <w:rPr>
          <w:sz w:val="30"/>
        </w:rPr>
        <w:t>Career Summary</w:t>
      </w:r>
    </w:p>
    <w:p w:rsidR="009E2F6C" w:rsidRDefault="00407B5B">
      <w:pPr>
        <w:pStyle w:val="BodyText"/>
        <w:spacing w:before="116"/>
        <w:ind w:right="199"/>
        <w:jc w:val="both"/>
      </w:pPr>
      <w:r>
        <w:t>Mahmoud is a consultant with four years of experience in Environmental Consultancy. He has delivered work in Environmental Impact Assessment (EIA), air quality, noise and vibration monitoring, and other environmental assessments on multiple projects at var</w:t>
      </w:r>
      <w:r>
        <w:t>ious stages of development, within the Middle East region.</w:t>
      </w:r>
    </w:p>
    <w:p w:rsidR="009E2F6C" w:rsidRDefault="00407B5B">
      <w:pPr>
        <w:pStyle w:val="BodyText"/>
        <w:spacing w:before="120"/>
        <w:ind w:right="197"/>
        <w:jc w:val="both"/>
      </w:pPr>
      <w:r>
        <w:t>Mahmoud’s experience at Anthesis Group and WSP has exposed and enabled him to work with global corporations, governmental bodies and local developers in the UAE, Oman, Qatar and across the GCC. His skills include instrumental research analysis and lab tech</w:t>
      </w:r>
      <w:r>
        <w:t xml:space="preserve">niques. Collecting, </w:t>
      </w:r>
      <w:proofErr w:type="spellStart"/>
      <w:r>
        <w:t>analysing</w:t>
      </w:r>
      <w:proofErr w:type="spellEnd"/>
      <w:r>
        <w:t xml:space="preserve"> and showing attention to detail in planning strategies for their solutions. Adhering to specified health and safety procedures, undertaking in-depth investigations and using a variety of approaches to reach scientific conclusi</w:t>
      </w:r>
      <w:r>
        <w:t>ons.</w:t>
      </w:r>
    </w:p>
    <w:p w:rsidR="009E2F6C" w:rsidRDefault="00407B5B">
      <w:pPr>
        <w:pStyle w:val="BodyText"/>
        <w:spacing w:before="120"/>
        <w:ind w:right="199"/>
        <w:jc w:val="both"/>
      </w:pPr>
      <w:r>
        <w:t>Born</w:t>
      </w:r>
      <w:r>
        <w:rPr>
          <w:spacing w:val="-8"/>
        </w:rPr>
        <w:t xml:space="preserve"> </w:t>
      </w:r>
      <w:r>
        <w:t>and</w:t>
      </w:r>
      <w:r>
        <w:rPr>
          <w:spacing w:val="-9"/>
        </w:rPr>
        <w:t xml:space="preserve"> </w:t>
      </w:r>
      <w:r>
        <w:t>raised</w:t>
      </w:r>
      <w:r>
        <w:rPr>
          <w:spacing w:val="-9"/>
        </w:rPr>
        <w:t xml:space="preserve"> </w:t>
      </w:r>
      <w:r>
        <w:t>in</w:t>
      </w:r>
      <w:r>
        <w:rPr>
          <w:spacing w:val="-9"/>
        </w:rPr>
        <w:t xml:space="preserve"> </w:t>
      </w:r>
      <w:r>
        <w:t>the</w:t>
      </w:r>
      <w:r>
        <w:rPr>
          <w:spacing w:val="-9"/>
        </w:rPr>
        <w:t xml:space="preserve"> </w:t>
      </w:r>
      <w:r>
        <w:t>United</w:t>
      </w:r>
      <w:r>
        <w:rPr>
          <w:spacing w:val="-9"/>
        </w:rPr>
        <w:t xml:space="preserve"> </w:t>
      </w:r>
      <w:r>
        <w:t>Arab</w:t>
      </w:r>
      <w:r>
        <w:rPr>
          <w:spacing w:val="-8"/>
        </w:rPr>
        <w:t xml:space="preserve"> </w:t>
      </w:r>
      <w:r>
        <w:t>Emirates,</w:t>
      </w:r>
      <w:r>
        <w:rPr>
          <w:spacing w:val="-11"/>
        </w:rPr>
        <w:t xml:space="preserve"> </w:t>
      </w:r>
      <w:r>
        <w:t>Mahmoud</w:t>
      </w:r>
      <w:r>
        <w:rPr>
          <w:spacing w:val="-9"/>
        </w:rPr>
        <w:t xml:space="preserve"> </w:t>
      </w:r>
      <w:r>
        <w:t>has</w:t>
      </w:r>
      <w:r>
        <w:rPr>
          <w:spacing w:val="-10"/>
        </w:rPr>
        <w:t xml:space="preserve"> </w:t>
      </w:r>
      <w:r>
        <w:t>adopted</w:t>
      </w:r>
      <w:r>
        <w:rPr>
          <w:spacing w:val="-7"/>
        </w:rPr>
        <w:t xml:space="preserve"> </w:t>
      </w:r>
      <w:r>
        <w:t>a</w:t>
      </w:r>
      <w:r>
        <w:rPr>
          <w:spacing w:val="-11"/>
        </w:rPr>
        <w:t xml:space="preserve"> </w:t>
      </w:r>
      <w:r>
        <w:t>proficient</w:t>
      </w:r>
      <w:r>
        <w:rPr>
          <w:spacing w:val="-8"/>
        </w:rPr>
        <w:t xml:space="preserve"> </w:t>
      </w:r>
      <w:r>
        <w:t>understanding</w:t>
      </w:r>
      <w:r>
        <w:rPr>
          <w:spacing w:val="-3"/>
        </w:rPr>
        <w:t xml:space="preserve"> </w:t>
      </w:r>
      <w:r>
        <w:t>of</w:t>
      </w:r>
      <w:r>
        <w:rPr>
          <w:spacing w:val="-11"/>
        </w:rPr>
        <w:t xml:space="preserve"> </w:t>
      </w:r>
      <w:r>
        <w:t>the</w:t>
      </w:r>
      <w:r>
        <w:rPr>
          <w:spacing w:val="-9"/>
        </w:rPr>
        <w:t xml:space="preserve"> </w:t>
      </w:r>
      <w:r>
        <w:t xml:space="preserve">GCC region market. He played a key role in developing project proposals and liaisons with contractors, consultants and regulatory authorities. This has </w:t>
      </w:r>
      <w:r>
        <w:t>accustomed him with a wide understanding and experiences dealing with projects at different</w:t>
      </w:r>
      <w:r>
        <w:rPr>
          <w:spacing w:val="12"/>
        </w:rPr>
        <w:t xml:space="preserve"> </w:t>
      </w:r>
      <w:r>
        <w:t>stages.</w:t>
      </w:r>
    </w:p>
    <w:p w:rsidR="009E2F6C" w:rsidRDefault="00407B5B">
      <w:pPr>
        <w:pStyle w:val="BodyText"/>
        <w:spacing w:before="122"/>
        <w:ind w:right="198"/>
        <w:jc w:val="both"/>
      </w:pPr>
      <w:r>
        <w:t>In addition, the United Arab Emirates has provided Mahmoud a taste for multiculturalism. He has encountered</w:t>
      </w:r>
      <w:r>
        <w:rPr>
          <w:spacing w:val="-9"/>
        </w:rPr>
        <w:t xml:space="preserve"> </w:t>
      </w:r>
      <w:r>
        <w:t>with</w:t>
      </w:r>
      <w:r>
        <w:rPr>
          <w:spacing w:val="-8"/>
        </w:rPr>
        <w:t xml:space="preserve"> </w:t>
      </w:r>
      <w:r>
        <w:t>diverse</w:t>
      </w:r>
      <w:r>
        <w:rPr>
          <w:spacing w:val="-8"/>
        </w:rPr>
        <w:t xml:space="preserve"> </w:t>
      </w:r>
      <w:r>
        <w:t>cultures,</w:t>
      </w:r>
      <w:r>
        <w:rPr>
          <w:spacing w:val="-11"/>
        </w:rPr>
        <w:t xml:space="preserve"> </w:t>
      </w:r>
      <w:r>
        <w:t>ethnicities</w:t>
      </w:r>
      <w:r>
        <w:rPr>
          <w:spacing w:val="-5"/>
        </w:rPr>
        <w:t xml:space="preserve"> </w:t>
      </w:r>
      <w:r>
        <w:t>and</w:t>
      </w:r>
      <w:r>
        <w:rPr>
          <w:spacing w:val="-10"/>
        </w:rPr>
        <w:t xml:space="preserve"> </w:t>
      </w:r>
      <w:r>
        <w:t>social</w:t>
      </w:r>
      <w:r>
        <w:rPr>
          <w:spacing w:val="-11"/>
        </w:rPr>
        <w:t xml:space="preserve"> </w:t>
      </w:r>
      <w:r>
        <w:t>sy</w:t>
      </w:r>
      <w:r>
        <w:t>stems.</w:t>
      </w:r>
      <w:r>
        <w:rPr>
          <w:spacing w:val="-11"/>
        </w:rPr>
        <w:t xml:space="preserve"> </w:t>
      </w:r>
      <w:r>
        <w:t>This</w:t>
      </w:r>
      <w:r>
        <w:rPr>
          <w:spacing w:val="-11"/>
        </w:rPr>
        <w:t xml:space="preserve"> </w:t>
      </w:r>
      <w:r>
        <w:t>has</w:t>
      </w:r>
      <w:r>
        <w:rPr>
          <w:spacing w:val="-11"/>
        </w:rPr>
        <w:t xml:space="preserve"> </w:t>
      </w:r>
      <w:r>
        <w:t>enabled</w:t>
      </w:r>
      <w:r>
        <w:rPr>
          <w:spacing w:val="-8"/>
        </w:rPr>
        <w:t xml:space="preserve"> </w:t>
      </w:r>
      <w:r>
        <w:t>him</w:t>
      </w:r>
      <w:r>
        <w:rPr>
          <w:spacing w:val="-10"/>
        </w:rPr>
        <w:t xml:space="preserve"> </w:t>
      </w:r>
      <w:r>
        <w:t>to</w:t>
      </w:r>
      <w:r>
        <w:rPr>
          <w:spacing w:val="-10"/>
        </w:rPr>
        <w:t xml:space="preserve"> </w:t>
      </w:r>
      <w:r>
        <w:t>assimilate</w:t>
      </w:r>
      <w:r>
        <w:rPr>
          <w:spacing w:val="-7"/>
        </w:rPr>
        <w:t xml:space="preserve"> </w:t>
      </w:r>
      <w:r>
        <w:t xml:space="preserve">within and apply different management structures. Mahmoud is proficient in both English &amp; Arabic and </w:t>
      </w:r>
      <w:proofErr w:type="gramStart"/>
      <w:r>
        <w:t>is able to</w:t>
      </w:r>
      <w:proofErr w:type="gramEnd"/>
      <w:r>
        <w:t xml:space="preserve"> communicate at a fundamental level in Spanish and Urdu, which has expanded his connection with the regional and global</w:t>
      </w:r>
      <w:r>
        <w:rPr>
          <w:spacing w:val="8"/>
        </w:rPr>
        <w:t xml:space="preserve"> </w:t>
      </w:r>
      <w:r>
        <w:t>populace.</w:t>
      </w:r>
    </w:p>
    <w:p w:rsidR="009E2F6C" w:rsidRDefault="009E2F6C">
      <w:pPr>
        <w:pStyle w:val="BodyText"/>
        <w:ind w:left="0"/>
      </w:pPr>
    </w:p>
    <w:p w:rsidR="009E2F6C" w:rsidRDefault="009E2F6C">
      <w:pPr>
        <w:pStyle w:val="BodyText"/>
        <w:spacing w:before="10"/>
        <w:ind w:left="0"/>
        <w:rPr>
          <w:sz w:val="21"/>
        </w:rPr>
      </w:pPr>
    </w:p>
    <w:tbl>
      <w:tblPr>
        <w:tblW w:w="0" w:type="auto"/>
        <w:tblInd w:w="100" w:type="dxa"/>
        <w:tblLayout w:type="fixed"/>
        <w:tblCellMar>
          <w:left w:w="0" w:type="dxa"/>
          <w:right w:w="0" w:type="dxa"/>
        </w:tblCellMar>
        <w:tblLook w:val="01E0" w:firstRow="1" w:lastRow="1" w:firstColumn="1" w:lastColumn="1" w:noHBand="0" w:noVBand="0"/>
      </w:tblPr>
      <w:tblGrid>
        <w:gridCol w:w="2028"/>
        <w:gridCol w:w="2867"/>
        <w:gridCol w:w="1041"/>
        <w:gridCol w:w="447"/>
        <w:gridCol w:w="932"/>
        <w:gridCol w:w="1442"/>
        <w:gridCol w:w="887"/>
      </w:tblGrid>
      <w:tr w:rsidR="009E2F6C">
        <w:trPr>
          <w:trHeight w:val="420"/>
        </w:trPr>
        <w:tc>
          <w:tcPr>
            <w:tcW w:w="9644" w:type="dxa"/>
            <w:gridSpan w:val="7"/>
          </w:tcPr>
          <w:p w:rsidR="009E2F6C" w:rsidRDefault="00407B5B">
            <w:pPr>
              <w:pStyle w:val="TableParagraph"/>
              <w:spacing w:before="0" w:line="357" w:lineRule="exact"/>
              <w:ind w:left="200"/>
              <w:rPr>
                <w:b/>
                <w:sz w:val="32"/>
              </w:rPr>
            </w:pPr>
            <w:r>
              <w:rPr>
                <w:b/>
                <w:sz w:val="32"/>
              </w:rPr>
              <w:t>Time-line and</w:t>
            </w:r>
            <w:r>
              <w:rPr>
                <w:b/>
                <w:sz w:val="32"/>
              </w:rPr>
              <w:t xml:space="preserve"> Selected Experiences</w:t>
            </w:r>
          </w:p>
        </w:tc>
      </w:tr>
      <w:tr w:rsidR="009E2F6C">
        <w:trPr>
          <w:trHeight w:val="349"/>
        </w:trPr>
        <w:tc>
          <w:tcPr>
            <w:tcW w:w="2028" w:type="dxa"/>
          </w:tcPr>
          <w:p w:rsidR="009E2F6C" w:rsidRDefault="00407B5B">
            <w:pPr>
              <w:pStyle w:val="TableParagraph"/>
              <w:ind w:left="308"/>
              <w:rPr>
                <w:b/>
                <w:sz w:val="20"/>
              </w:rPr>
            </w:pPr>
            <w:r>
              <w:rPr>
                <w:b/>
                <w:sz w:val="20"/>
                <w:u w:val="thick"/>
              </w:rPr>
              <w:t>2014 to Present</w:t>
            </w:r>
          </w:p>
        </w:tc>
        <w:tc>
          <w:tcPr>
            <w:tcW w:w="7616" w:type="dxa"/>
            <w:gridSpan w:val="6"/>
          </w:tcPr>
          <w:p w:rsidR="009E2F6C" w:rsidRDefault="00407B5B">
            <w:pPr>
              <w:pStyle w:val="TableParagraph"/>
              <w:ind w:left="163"/>
              <w:rPr>
                <w:b/>
                <w:sz w:val="20"/>
              </w:rPr>
            </w:pPr>
            <w:r>
              <w:rPr>
                <w:b/>
                <w:sz w:val="20"/>
                <w:u w:val="thick"/>
              </w:rPr>
              <w:t>Anthesis Group Middle East Branch</w:t>
            </w:r>
          </w:p>
        </w:tc>
      </w:tr>
      <w:tr w:rsidR="009E2F6C">
        <w:trPr>
          <w:trHeight w:val="1039"/>
        </w:trPr>
        <w:tc>
          <w:tcPr>
            <w:tcW w:w="2028" w:type="dxa"/>
          </w:tcPr>
          <w:p w:rsidR="009E2F6C" w:rsidRDefault="00407B5B">
            <w:pPr>
              <w:pStyle w:val="TableParagraph"/>
              <w:ind w:left="308"/>
              <w:rPr>
                <w:b/>
                <w:sz w:val="20"/>
              </w:rPr>
            </w:pPr>
            <w:r>
              <w:rPr>
                <w:b/>
                <w:sz w:val="20"/>
              </w:rPr>
              <w:t>Project Manager</w:t>
            </w:r>
          </w:p>
        </w:tc>
        <w:tc>
          <w:tcPr>
            <w:tcW w:w="7616" w:type="dxa"/>
            <w:gridSpan w:val="6"/>
          </w:tcPr>
          <w:p w:rsidR="009E2F6C" w:rsidRDefault="00407B5B">
            <w:pPr>
              <w:pStyle w:val="TableParagraph"/>
              <w:ind w:left="163" w:right="203"/>
              <w:jc w:val="both"/>
              <w:rPr>
                <w:sz w:val="20"/>
              </w:rPr>
            </w:pPr>
            <w:r>
              <w:rPr>
                <w:b/>
                <w:sz w:val="20"/>
              </w:rPr>
              <w:t xml:space="preserve">Infrastructure, EXPOLink2020 – </w:t>
            </w:r>
            <w:r>
              <w:rPr>
                <w:sz w:val="20"/>
              </w:rPr>
              <w:t>Managing the environmental monitoring package which consists of air quality, noise, vibration and water effluents. And provision of environmental construction methodologies and best performance indicators.</w:t>
            </w:r>
          </w:p>
        </w:tc>
      </w:tr>
      <w:tr w:rsidR="009E2F6C">
        <w:trPr>
          <w:trHeight w:val="580"/>
        </w:trPr>
        <w:tc>
          <w:tcPr>
            <w:tcW w:w="2028" w:type="dxa"/>
          </w:tcPr>
          <w:p w:rsidR="009E2F6C" w:rsidRDefault="00407B5B">
            <w:pPr>
              <w:pStyle w:val="TableParagraph"/>
              <w:ind w:left="308"/>
              <w:rPr>
                <w:b/>
                <w:sz w:val="20"/>
              </w:rPr>
            </w:pPr>
            <w:r>
              <w:rPr>
                <w:b/>
                <w:sz w:val="20"/>
              </w:rPr>
              <w:t>Project Manager</w:t>
            </w:r>
          </w:p>
        </w:tc>
        <w:tc>
          <w:tcPr>
            <w:tcW w:w="7616" w:type="dxa"/>
            <w:gridSpan w:val="6"/>
          </w:tcPr>
          <w:p w:rsidR="009E2F6C" w:rsidRDefault="00407B5B">
            <w:pPr>
              <w:pStyle w:val="TableParagraph"/>
              <w:ind w:left="163" w:right="135"/>
              <w:rPr>
                <w:sz w:val="20"/>
              </w:rPr>
            </w:pPr>
            <w:r>
              <w:rPr>
                <w:b/>
                <w:sz w:val="20"/>
              </w:rPr>
              <w:t xml:space="preserve">Dubai Solar Park – </w:t>
            </w:r>
            <w:r>
              <w:rPr>
                <w:sz w:val="20"/>
              </w:rPr>
              <w:t>Managing the e</w:t>
            </w:r>
            <w:r>
              <w:rPr>
                <w:sz w:val="20"/>
              </w:rPr>
              <w:t>nvironmental monitoring package which consist of dust deposition monitoring and provision of dust management plan.</w:t>
            </w:r>
          </w:p>
        </w:tc>
      </w:tr>
      <w:tr w:rsidR="009E2F6C">
        <w:trPr>
          <w:trHeight w:val="579"/>
        </w:trPr>
        <w:tc>
          <w:tcPr>
            <w:tcW w:w="2028" w:type="dxa"/>
          </w:tcPr>
          <w:p w:rsidR="009E2F6C" w:rsidRDefault="00407B5B">
            <w:pPr>
              <w:pStyle w:val="TableParagraph"/>
              <w:ind w:left="308"/>
              <w:rPr>
                <w:b/>
                <w:sz w:val="20"/>
              </w:rPr>
            </w:pPr>
            <w:r>
              <w:rPr>
                <w:b/>
                <w:sz w:val="20"/>
              </w:rPr>
              <w:t>Project Manager</w:t>
            </w:r>
          </w:p>
        </w:tc>
        <w:tc>
          <w:tcPr>
            <w:tcW w:w="7616" w:type="dxa"/>
            <w:gridSpan w:val="6"/>
          </w:tcPr>
          <w:p w:rsidR="009E2F6C" w:rsidRDefault="00407B5B">
            <w:pPr>
              <w:pStyle w:val="TableParagraph"/>
              <w:ind w:left="163"/>
              <w:rPr>
                <w:sz w:val="20"/>
              </w:rPr>
            </w:pPr>
            <w:r>
              <w:rPr>
                <w:b/>
                <w:sz w:val="20"/>
              </w:rPr>
              <w:t xml:space="preserve">DM Desert Rose Satellite City – </w:t>
            </w:r>
            <w:r>
              <w:rPr>
                <w:sz w:val="20"/>
              </w:rPr>
              <w:t>Managing the Project’s Environmental Impact Assessment process.</w:t>
            </w:r>
          </w:p>
        </w:tc>
      </w:tr>
      <w:tr w:rsidR="009E2F6C">
        <w:trPr>
          <w:trHeight w:val="579"/>
        </w:trPr>
        <w:tc>
          <w:tcPr>
            <w:tcW w:w="2028" w:type="dxa"/>
          </w:tcPr>
          <w:p w:rsidR="009E2F6C" w:rsidRDefault="00407B5B">
            <w:pPr>
              <w:pStyle w:val="TableParagraph"/>
              <w:spacing w:before="58"/>
              <w:ind w:left="308"/>
              <w:rPr>
                <w:b/>
                <w:sz w:val="20"/>
              </w:rPr>
            </w:pPr>
            <w:r>
              <w:rPr>
                <w:b/>
                <w:sz w:val="20"/>
              </w:rPr>
              <w:t>Project Manager</w:t>
            </w:r>
          </w:p>
        </w:tc>
        <w:tc>
          <w:tcPr>
            <w:tcW w:w="2867" w:type="dxa"/>
          </w:tcPr>
          <w:p w:rsidR="009E2F6C" w:rsidRDefault="00407B5B">
            <w:pPr>
              <w:pStyle w:val="TableParagraph"/>
              <w:spacing w:before="55"/>
              <w:ind w:left="163"/>
              <w:rPr>
                <w:b/>
                <w:sz w:val="20"/>
              </w:rPr>
            </w:pPr>
            <w:r>
              <w:rPr>
                <w:b/>
                <w:sz w:val="20"/>
              </w:rPr>
              <w:t xml:space="preserve">Jebel </w:t>
            </w:r>
            <w:proofErr w:type="spellStart"/>
            <w:r>
              <w:rPr>
                <w:b/>
                <w:sz w:val="20"/>
              </w:rPr>
              <w:t>Hafit</w:t>
            </w:r>
            <w:proofErr w:type="spellEnd"/>
            <w:r>
              <w:rPr>
                <w:b/>
                <w:sz w:val="20"/>
              </w:rPr>
              <w:t xml:space="preserve"> Masterplan –</w:t>
            </w:r>
          </w:p>
          <w:p w:rsidR="009E2F6C" w:rsidRDefault="00407B5B">
            <w:pPr>
              <w:pStyle w:val="TableParagraph"/>
              <w:spacing w:before="1"/>
              <w:ind w:left="163"/>
              <w:rPr>
                <w:sz w:val="20"/>
              </w:rPr>
            </w:pPr>
            <w:r>
              <w:rPr>
                <w:sz w:val="20"/>
              </w:rPr>
              <w:t>Assessment process.</w:t>
            </w:r>
          </w:p>
        </w:tc>
        <w:tc>
          <w:tcPr>
            <w:tcW w:w="1041" w:type="dxa"/>
          </w:tcPr>
          <w:p w:rsidR="009E2F6C" w:rsidRDefault="00407B5B">
            <w:pPr>
              <w:pStyle w:val="TableParagraph"/>
              <w:spacing w:before="55"/>
              <w:ind w:left="81"/>
              <w:rPr>
                <w:sz w:val="20"/>
              </w:rPr>
            </w:pPr>
            <w:r>
              <w:rPr>
                <w:sz w:val="20"/>
              </w:rPr>
              <w:t>Managing</w:t>
            </w:r>
          </w:p>
        </w:tc>
        <w:tc>
          <w:tcPr>
            <w:tcW w:w="447" w:type="dxa"/>
          </w:tcPr>
          <w:p w:rsidR="009E2F6C" w:rsidRDefault="00407B5B">
            <w:pPr>
              <w:pStyle w:val="TableParagraph"/>
              <w:spacing w:before="55"/>
              <w:ind w:left="84"/>
              <w:rPr>
                <w:sz w:val="20"/>
              </w:rPr>
            </w:pPr>
            <w:r>
              <w:rPr>
                <w:sz w:val="20"/>
              </w:rPr>
              <w:t>the</w:t>
            </w:r>
          </w:p>
        </w:tc>
        <w:tc>
          <w:tcPr>
            <w:tcW w:w="932" w:type="dxa"/>
          </w:tcPr>
          <w:p w:rsidR="009E2F6C" w:rsidRDefault="00407B5B">
            <w:pPr>
              <w:pStyle w:val="TableParagraph"/>
              <w:spacing w:before="55"/>
              <w:ind w:left="81"/>
              <w:rPr>
                <w:sz w:val="20"/>
              </w:rPr>
            </w:pPr>
            <w:r>
              <w:rPr>
                <w:sz w:val="20"/>
              </w:rPr>
              <w:t>Project’s</w:t>
            </w:r>
          </w:p>
        </w:tc>
        <w:tc>
          <w:tcPr>
            <w:tcW w:w="1442" w:type="dxa"/>
          </w:tcPr>
          <w:p w:rsidR="009E2F6C" w:rsidRDefault="00407B5B">
            <w:pPr>
              <w:pStyle w:val="TableParagraph"/>
              <w:spacing w:before="55"/>
              <w:ind w:left="81"/>
              <w:rPr>
                <w:sz w:val="20"/>
              </w:rPr>
            </w:pPr>
            <w:r>
              <w:rPr>
                <w:sz w:val="20"/>
              </w:rPr>
              <w:t>Environmental</w:t>
            </w:r>
          </w:p>
        </w:tc>
        <w:tc>
          <w:tcPr>
            <w:tcW w:w="887" w:type="dxa"/>
          </w:tcPr>
          <w:p w:rsidR="009E2F6C" w:rsidRDefault="00407B5B">
            <w:pPr>
              <w:pStyle w:val="TableParagraph"/>
              <w:spacing w:before="55"/>
              <w:ind w:left="81"/>
              <w:rPr>
                <w:sz w:val="20"/>
              </w:rPr>
            </w:pPr>
            <w:r>
              <w:rPr>
                <w:sz w:val="20"/>
              </w:rPr>
              <w:t>Impact</w:t>
            </w:r>
          </w:p>
        </w:tc>
      </w:tr>
      <w:tr w:rsidR="009E2F6C">
        <w:trPr>
          <w:trHeight w:val="581"/>
        </w:trPr>
        <w:tc>
          <w:tcPr>
            <w:tcW w:w="2028" w:type="dxa"/>
          </w:tcPr>
          <w:p w:rsidR="009E2F6C" w:rsidRDefault="00407B5B">
            <w:pPr>
              <w:pStyle w:val="TableParagraph"/>
              <w:spacing w:before="57"/>
              <w:ind w:left="308"/>
              <w:rPr>
                <w:b/>
                <w:sz w:val="20"/>
              </w:rPr>
            </w:pPr>
            <w:r>
              <w:rPr>
                <w:b/>
                <w:sz w:val="20"/>
              </w:rPr>
              <w:t>Project Manager</w:t>
            </w:r>
          </w:p>
        </w:tc>
        <w:tc>
          <w:tcPr>
            <w:tcW w:w="7616" w:type="dxa"/>
            <w:gridSpan w:val="6"/>
          </w:tcPr>
          <w:p w:rsidR="009E2F6C" w:rsidRDefault="00407B5B">
            <w:pPr>
              <w:pStyle w:val="TableParagraph"/>
              <w:spacing w:before="57"/>
              <w:ind w:left="163"/>
              <w:rPr>
                <w:sz w:val="20"/>
              </w:rPr>
            </w:pPr>
            <w:r>
              <w:rPr>
                <w:b/>
                <w:sz w:val="20"/>
              </w:rPr>
              <w:t xml:space="preserve">Business Bay Masterplan – </w:t>
            </w:r>
            <w:r>
              <w:rPr>
                <w:sz w:val="20"/>
              </w:rPr>
              <w:t>Managing the Project’s Environmental Impact Assessment process.</w:t>
            </w:r>
          </w:p>
        </w:tc>
      </w:tr>
      <w:tr w:rsidR="009E2F6C">
        <w:trPr>
          <w:trHeight w:val="516"/>
        </w:trPr>
        <w:tc>
          <w:tcPr>
            <w:tcW w:w="2028" w:type="dxa"/>
          </w:tcPr>
          <w:p w:rsidR="009E2F6C" w:rsidRDefault="00407B5B">
            <w:pPr>
              <w:pStyle w:val="TableParagraph"/>
              <w:ind w:left="308"/>
              <w:rPr>
                <w:b/>
                <w:sz w:val="20"/>
              </w:rPr>
            </w:pPr>
            <w:r>
              <w:rPr>
                <w:b/>
                <w:sz w:val="20"/>
              </w:rPr>
              <w:t>Project Manager</w:t>
            </w:r>
          </w:p>
        </w:tc>
        <w:tc>
          <w:tcPr>
            <w:tcW w:w="7616" w:type="dxa"/>
            <w:gridSpan w:val="6"/>
          </w:tcPr>
          <w:p w:rsidR="009E2F6C" w:rsidRDefault="00407B5B">
            <w:pPr>
              <w:pStyle w:val="TableParagraph"/>
              <w:spacing w:line="230" w:lineRule="atLeast"/>
              <w:ind w:left="163"/>
              <w:rPr>
                <w:sz w:val="20"/>
              </w:rPr>
            </w:pPr>
            <w:r>
              <w:rPr>
                <w:b/>
                <w:sz w:val="20"/>
              </w:rPr>
              <w:t xml:space="preserve">Infra-Structure, Deep Tunnel Storm Network – </w:t>
            </w:r>
            <w:r>
              <w:rPr>
                <w:sz w:val="20"/>
              </w:rPr>
              <w:t>Managed and delivered a Construction Environmental Management Plan (CEMP)</w:t>
            </w:r>
          </w:p>
        </w:tc>
      </w:tr>
    </w:tbl>
    <w:p w:rsidR="009E2F6C" w:rsidRDefault="009E2F6C">
      <w:pPr>
        <w:spacing w:line="230" w:lineRule="atLeast"/>
        <w:rPr>
          <w:sz w:val="20"/>
        </w:rPr>
        <w:sectPr w:rsidR="009E2F6C">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40" w:bottom="900" w:left="1140" w:header="293" w:footer="710" w:gutter="0"/>
          <w:pgNumType w:start="1"/>
          <w:cols w:space="720"/>
        </w:sectPr>
      </w:pPr>
    </w:p>
    <w:tbl>
      <w:tblPr>
        <w:tblW w:w="0" w:type="auto"/>
        <w:tblInd w:w="208" w:type="dxa"/>
        <w:tblLayout w:type="fixed"/>
        <w:tblCellMar>
          <w:left w:w="0" w:type="dxa"/>
          <w:right w:w="0" w:type="dxa"/>
        </w:tblCellMar>
        <w:tblLook w:val="01E0" w:firstRow="1" w:lastRow="1" w:firstColumn="1" w:lastColumn="1" w:noHBand="0" w:noVBand="0"/>
      </w:tblPr>
      <w:tblGrid>
        <w:gridCol w:w="1974"/>
        <w:gridCol w:w="7559"/>
      </w:tblGrid>
      <w:tr w:rsidR="009E2F6C">
        <w:trPr>
          <w:trHeight w:val="867"/>
        </w:trPr>
        <w:tc>
          <w:tcPr>
            <w:tcW w:w="1974" w:type="dxa"/>
          </w:tcPr>
          <w:p w:rsidR="009E2F6C" w:rsidRDefault="00407B5B">
            <w:pPr>
              <w:pStyle w:val="TableParagraph"/>
              <w:spacing w:before="0" w:line="225" w:lineRule="exact"/>
              <w:ind w:left="200"/>
              <w:rPr>
                <w:b/>
                <w:sz w:val="20"/>
              </w:rPr>
            </w:pPr>
            <w:r>
              <w:rPr>
                <w:b/>
                <w:sz w:val="20"/>
              </w:rPr>
              <w:lastRenderedPageBreak/>
              <w:t>Project Manager</w:t>
            </w:r>
          </w:p>
        </w:tc>
        <w:tc>
          <w:tcPr>
            <w:tcW w:w="7559" w:type="dxa"/>
          </w:tcPr>
          <w:p w:rsidR="009E2F6C" w:rsidRDefault="00407B5B">
            <w:pPr>
              <w:pStyle w:val="TableParagraph"/>
              <w:spacing w:before="0"/>
              <w:rPr>
                <w:sz w:val="20"/>
              </w:rPr>
            </w:pPr>
            <w:r>
              <w:rPr>
                <w:b/>
                <w:sz w:val="20"/>
              </w:rPr>
              <w:t xml:space="preserve">Various Environmental Assessments – </w:t>
            </w:r>
            <w:r>
              <w:rPr>
                <w:sz w:val="20"/>
              </w:rPr>
              <w:t>Delivered various environmental assessments which includes but not limited to the following:</w:t>
            </w:r>
          </w:p>
          <w:p w:rsidR="009E2F6C" w:rsidRDefault="00407B5B">
            <w:pPr>
              <w:pStyle w:val="TableParagraph"/>
              <w:spacing w:before="113"/>
              <w:rPr>
                <w:sz w:val="20"/>
              </w:rPr>
            </w:pPr>
            <w:r>
              <w:rPr>
                <w:sz w:val="20"/>
              </w:rPr>
              <w:t>EIA, CEMP, OEMP, PER, EIA, DMP, etc.</w:t>
            </w:r>
          </w:p>
        </w:tc>
      </w:tr>
      <w:tr w:rsidR="009E2F6C">
        <w:trPr>
          <w:trHeight w:val="810"/>
        </w:trPr>
        <w:tc>
          <w:tcPr>
            <w:tcW w:w="1974" w:type="dxa"/>
          </w:tcPr>
          <w:p w:rsidR="009E2F6C" w:rsidRDefault="00407B5B">
            <w:pPr>
              <w:pStyle w:val="TableParagraph"/>
              <w:ind w:left="200"/>
              <w:rPr>
                <w:b/>
                <w:sz w:val="20"/>
              </w:rPr>
            </w:pPr>
            <w:r>
              <w:rPr>
                <w:b/>
                <w:sz w:val="20"/>
              </w:rPr>
              <w:t>ENV Consultant</w:t>
            </w:r>
          </w:p>
        </w:tc>
        <w:tc>
          <w:tcPr>
            <w:tcW w:w="7559" w:type="dxa"/>
          </w:tcPr>
          <w:p w:rsidR="009E2F6C" w:rsidRDefault="00407B5B">
            <w:pPr>
              <w:pStyle w:val="TableParagraph"/>
              <w:ind w:right="199"/>
              <w:jc w:val="both"/>
              <w:rPr>
                <w:sz w:val="20"/>
              </w:rPr>
            </w:pPr>
            <w:proofErr w:type="spellStart"/>
            <w:r>
              <w:rPr>
                <w:b/>
                <w:sz w:val="20"/>
              </w:rPr>
              <w:t>Karaana</w:t>
            </w:r>
            <w:proofErr w:type="spellEnd"/>
            <w:r>
              <w:rPr>
                <w:b/>
                <w:sz w:val="20"/>
              </w:rPr>
              <w:t xml:space="preserve"> Lagoons Rehabilitation – </w:t>
            </w:r>
            <w:r>
              <w:rPr>
                <w:sz w:val="20"/>
              </w:rPr>
              <w:t>Providing environmental support for the process of the Project’s EIA, this included terrestrial ecology, impact assessment management</w:t>
            </w:r>
          </w:p>
        </w:tc>
      </w:tr>
      <w:tr w:rsidR="009E2F6C">
        <w:trPr>
          <w:trHeight w:val="810"/>
        </w:trPr>
        <w:tc>
          <w:tcPr>
            <w:tcW w:w="1974" w:type="dxa"/>
          </w:tcPr>
          <w:p w:rsidR="009E2F6C" w:rsidRDefault="00407B5B">
            <w:pPr>
              <w:pStyle w:val="TableParagraph"/>
              <w:spacing w:before="58"/>
              <w:ind w:left="200"/>
              <w:rPr>
                <w:b/>
                <w:sz w:val="20"/>
              </w:rPr>
            </w:pPr>
            <w:r>
              <w:rPr>
                <w:b/>
                <w:sz w:val="20"/>
              </w:rPr>
              <w:t>ENV Consultant</w:t>
            </w:r>
          </w:p>
        </w:tc>
        <w:tc>
          <w:tcPr>
            <w:tcW w:w="7559" w:type="dxa"/>
          </w:tcPr>
          <w:p w:rsidR="009E2F6C" w:rsidRDefault="00407B5B">
            <w:pPr>
              <w:pStyle w:val="TableParagraph"/>
              <w:spacing w:before="55"/>
              <w:ind w:right="197"/>
              <w:jc w:val="both"/>
              <w:rPr>
                <w:sz w:val="20"/>
              </w:rPr>
            </w:pPr>
            <w:r>
              <w:rPr>
                <w:b/>
                <w:sz w:val="20"/>
              </w:rPr>
              <w:t>Infrastructure,</w:t>
            </w:r>
            <w:r>
              <w:rPr>
                <w:b/>
                <w:spacing w:val="-9"/>
                <w:sz w:val="20"/>
              </w:rPr>
              <w:t xml:space="preserve"> </w:t>
            </w:r>
            <w:r>
              <w:rPr>
                <w:b/>
                <w:sz w:val="20"/>
              </w:rPr>
              <w:t>Hatta</w:t>
            </w:r>
            <w:r>
              <w:rPr>
                <w:b/>
                <w:spacing w:val="-13"/>
                <w:sz w:val="20"/>
              </w:rPr>
              <w:t xml:space="preserve"> </w:t>
            </w:r>
            <w:r>
              <w:rPr>
                <w:b/>
                <w:sz w:val="20"/>
              </w:rPr>
              <w:t>Pumped</w:t>
            </w:r>
            <w:r>
              <w:rPr>
                <w:b/>
                <w:spacing w:val="-12"/>
                <w:sz w:val="20"/>
              </w:rPr>
              <w:t xml:space="preserve"> </w:t>
            </w:r>
            <w:r>
              <w:rPr>
                <w:b/>
                <w:sz w:val="20"/>
              </w:rPr>
              <w:t>Storage</w:t>
            </w:r>
            <w:r>
              <w:rPr>
                <w:b/>
                <w:spacing w:val="-11"/>
                <w:sz w:val="20"/>
              </w:rPr>
              <w:t xml:space="preserve"> </w:t>
            </w:r>
            <w:r>
              <w:rPr>
                <w:b/>
                <w:sz w:val="20"/>
              </w:rPr>
              <w:t>Power</w:t>
            </w:r>
            <w:r>
              <w:rPr>
                <w:b/>
                <w:spacing w:val="-13"/>
                <w:sz w:val="20"/>
              </w:rPr>
              <w:t xml:space="preserve"> </w:t>
            </w:r>
            <w:r>
              <w:rPr>
                <w:b/>
                <w:sz w:val="20"/>
              </w:rPr>
              <w:t>Project</w:t>
            </w:r>
            <w:r>
              <w:rPr>
                <w:b/>
                <w:spacing w:val="-4"/>
                <w:sz w:val="20"/>
              </w:rPr>
              <w:t xml:space="preserve"> </w:t>
            </w:r>
            <w:r>
              <w:rPr>
                <w:b/>
                <w:sz w:val="20"/>
              </w:rPr>
              <w:t>–</w:t>
            </w:r>
            <w:r>
              <w:rPr>
                <w:b/>
                <w:spacing w:val="-13"/>
                <w:sz w:val="20"/>
              </w:rPr>
              <w:t xml:space="preserve"> </w:t>
            </w:r>
            <w:r>
              <w:rPr>
                <w:sz w:val="20"/>
              </w:rPr>
              <w:t>Providing</w:t>
            </w:r>
            <w:r>
              <w:rPr>
                <w:spacing w:val="-6"/>
                <w:sz w:val="20"/>
              </w:rPr>
              <w:t xml:space="preserve"> </w:t>
            </w:r>
            <w:r>
              <w:rPr>
                <w:sz w:val="20"/>
              </w:rPr>
              <w:t>environmental support</w:t>
            </w:r>
            <w:r>
              <w:rPr>
                <w:spacing w:val="-11"/>
                <w:sz w:val="20"/>
              </w:rPr>
              <w:t xml:space="preserve"> </w:t>
            </w:r>
            <w:r>
              <w:rPr>
                <w:sz w:val="20"/>
              </w:rPr>
              <w:t>for</w:t>
            </w:r>
            <w:r>
              <w:rPr>
                <w:spacing w:val="-13"/>
                <w:sz w:val="20"/>
              </w:rPr>
              <w:t xml:space="preserve"> </w:t>
            </w:r>
            <w:r>
              <w:rPr>
                <w:sz w:val="20"/>
              </w:rPr>
              <w:t>the</w:t>
            </w:r>
            <w:r>
              <w:rPr>
                <w:spacing w:val="-13"/>
                <w:sz w:val="20"/>
              </w:rPr>
              <w:t xml:space="preserve"> </w:t>
            </w:r>
            <w:r>
              <w:rPr>
                <w:sz w:val="20"/>
              </w:rPr>
              <w:t>process</w:t>
            </w:r>
            <w:r>
              <w:rPr>
                <w:spacing w:val="-11"/>
                <w:sz w:val="20"/>
              </w:rPr>
              <w:t xml:space="preserve"> </w:t>
            </w:r>
            <w:r>
              <w:rPr>
                <w:sz w:val="20"/>
              </w:rPr>
              <w:t>of</w:t>
            </w:r>
            <w:r>
              <w:rPr>
                <w:spacing w:val="-13"/>
                <w:sz w:val="20"/>
              </w:rPr>
              <w:t xml:space="preserve"> </w:t>
            </w:r>
            <w:r>
              <w:rPr>
                <w:sz w:val="20"/>
              </w:rPr>
              <w:t>the</w:t>
            </w:r>
            <w:r>
              <w:rPr>
                <w:spacing w:val="-10"/>
                <w:sz w:val="20"/>
              </w:rPr>
              <w:t xml:space="preserve"> </w:t>
            </w:r>
            <w:r>
              <w:rPr>
                <w:sz w:val="20"/>
              </w:rPr>
              <w:t>Project’s</w:t>
            </w:r>
            <w:r>
              <w:rPr>
                <w:spacing w:val="-11"/>
                <w:sz w:val="20"/>
              </w:rPr>
              <w:t xml:space="preserve"> </w:t>
            </w:r>
            <w:r>
              <w:rPr>
                <w:sz w:val="20"/>
              </w:rPr>
              <w:t>EIA,</w:t>
            </w:r>
            <w:r>
              <w:rPr>
                <w:spacing w:val="-11"/>
                <w:sz w:val="20"/>
              </w:rPr>
              <w:t xml:space="preserve"> </w:t>
            </w:r>
            <w:r>
              <w:rPr>
                <w:sz w:val="20"/>
              </w:rPr>
              <w:t>this</w:t>
            </w:r>
            <w:r>
              <w:rPr>
                <w:spacing w:val="-11"/>
                <w:sz w:val="20"/>
              </w:rPr>
              <w:t xml:space="preserve"> </w:t>
            </w:r>
            <w:r>
              <w:rPr>
                <w:sz w:val="20"/>
              </w:rPr>
              <w:t>includes</w:t>
            </w:r>
            <w:r>
              <w:rPr>
                <w:spacing w:val="-6"/>
                <w:sz w:val="20"/>
              </w:rPr>
              <w:t xml:space="preserve"> </w:t>
            </w:r>
            <w:r>
              <w:rPr>
                <w:sz w:val="20"/>
              </w:rPr>
              <w:t>terrestrial</w:t>
            </w:r>
            <w:r>
              <w:rPr>
                <w:spacing w:val="-11"/>
                <w:sz w:val="20"/>
              </w:rPr>
              <w:t xml:space="preserve"> </w:t>
            </w:r>
            <w:r>
              <w:rPr>
                <w:sz w:val="20"/>
              </w:rPr>
              <w:t>ecology,</w:t>
            </w:r>
            <w:r>
              <w:rPr>
                <w:spacing w:val="-4"/>
                <w:sz w:val="20"/>
              </w:rPr>
              <w:t xml:space="preserve"> </w:t>
            </w:r>
            <w:r>
              <w:rPr>
                <w:sz w:val="20"/>
              </w:rPr>
              <w:t>impact assessment</w:t>
            </w:r>
            <w:r>
              <w:rPr>
                <w:spacing w:val="-2"/>
                <w:sz w:val="20"/>
              </w:rPr>
              <w:t xml:space="preserve"> </w:t>
            </w:r>
            <w:r>
              <w:rPr>
                <w:sz w:val="20"/>
              </w:rPr>
              <w:t>management</w:t>
            </w:r>
          </w:p>
        </w:tc>
      </w:tr>
      <w:tr w:rsidR="009E2F6C">
        <w:trPr>
          <w:trHeight w:val="810"/>
        </w:trPr>
        <w:tc>
          <w:tcPr>
            <w:tcW w:w="1974" w:type="dxa"/>
          </w:tcPr>
          <w:p w:rsidR="009E2F6C" w:rsidRDefault="00407B5B">
            <w:pPr>
              <w:pStyle w:val="TableParagraph"/>
              <w:ind w:left="200"/>
              <w:rPr>
                <w:b/>
                <w:sz w:val="20"/>
              </w:rPr>
            </w:pPr>
            <w:r>
              <w:rPr>
                <w:b/>
                <w:sz w:val="20"/>
              </w:rPr>
              <w:t>ENV Consultant</w:t>
            </w:r>
          </w:p>
        </w:tc>
        <w:tc>
          <w:tcPr>
            <w:tcW w:w="7559" w:type="dxa"/>
          </w:tcPr>
          <w:p w:rsidR="009E2F6C" w:rsidRDefault="00407B5B">
            <w:pPr>
              <w:pStyle w:val="TableParagraph"/>
              <w:ind w:right="197"/>
              <w:jc w:val="both"/>
              <w:rPr>
                <w:sz w:val="20"/>
              </w:rPr>
            </w:pPr>
            <w:proofErr w:type="spellStart"/>
            <w:r>
              <w:rPr>
                <w:b/>
                <w:sz w:val="20"/>
              </w:rPr>
              <w:t>Motorworld</w:t>
            </w:r>
            <w:proofErr w:type="spellEnd"/>
            <w:r>
              <w:rPr>
                <w:b/>
                <w:sz w:val="20"/>
              </w:rPr>
              <w:t xml:space="preserve">, </w:t>
            </w:r>
            <w:proofErr w:type="spellStart"/>
            <w:r>
              <w:rPr>
                <w:b/>
                <w:sz w:val="20"/>
              </w:rPr>
              <w:t>Shamkha</w:t>
            </w:r>
            <w:proofErr w:type="spellEnd"/>
            <w:r>
              <w:rPr>
                <w:b/>
                <w:sz w:val="20"/>
              </w:rPr>
              <w:t xml:space="preserve"> Downtown – </w:t>
            </w:r>
            <w:r>
              <w:rPr>
                <w:sz w:val="20"/>
              </w:rPr>
              <w:t>Providing environmental support for the process of the Project’s EIA, this includes air quality, noise, traffic and</w:t>
            </w:r>
            <w:r>
              <w:rPr>
                <w:sz w:val="20"/>
              </w:rPr>
              <w:t xml:space="preserve"> terrestrial impact assessment.</w:t>
            </w:r>
          </w:p>
        </w:tc>
      </w:tr>
      <w:tr w:rsidR="009E2F6C">
        <w:trPr>
          <w:trHeight w:val="810"/>
        </w:trPr>
        <w:tc>
          <w:tcPr>
            <w:tcW w:w="1974" w:type="dxa"/>
          </w:tcPr>
          <w:p w:rsidR="009E2F6C" w:rsidRDefault="00407B5B">
            <w:pPr>
              <w:pStyle w:val="TableParagraph"/>
              <w:spacing w:before="55"/>
              <w:ind w:left="200"/>
              <w:rPr>
                <w:b/>
                <w:sz w:val="20"/>
              </w:rPr>
            </w:pPr>
            <w:r>
              <w:rPr>
                <w:b/>
                <w:sz w:val="20"/>
              </w:rPr>
              <w:t>ENV Consultant</w:t>
            </w:r>
          </w:p>
        </w:tc>
        <w:tc>
          <w:tcPr>
            <w:tcW w:w="7559" w:type="dxa"/>
          </w:tcPr>
          <w:p w:rsidR="009E2F6C" w:rsidRDefault="00407B5B">
            <w:pPr>
              <w:pStyle w:val="TableParagraph"/>
              <w:spacing w:before="55"/>
              <w:ind w:right="197"/>
              <w:jc w:val="both"/>
              <w:rPr>
                <w:sz w:val="20"/>
              </w:rPr>
            </w:pPr>
            <w:r>
              <w:rPr>
                <w:b/>
                <w:sz w:val="20"/>
              </w:rPr>
              <w:t xml:space="preserve">Infrastructure, KIZAD Industrial Area – </w:t>
            </w:r>
            <w:r>
              <w:rPr>
                <w:sz w:val="20"/>
              </w:rPr>
              <w:t>Providing environmental support for the process of the Project’s EIA, this includes air quality, noise, and terrestrial impact assessments.</w:t>
            </w:r>
          </w:p>
        </w:tc>
      </w:tr>
      <w:tr w:rsidR="009E2F6C">
        <w:trPr>
          <w:trHeight w:val="579"/>
        </w:trPr>
        <w:tc>
          <w:tcPr>
            <w:tcW w:w="1974" w:type="dxa"/>
          </w:tcPr>
          <w:p w:rsidR="009E2F6C" w:rsidRDefault="00407B5B">
            <w:pPr>
              <w:pStyle w:val="TableParagraph"/>
              <w:ind w:left="200"/>
              <w:rPr>
                <w:b/>
                <w:sz w:val="20"/>
              </w:rPr>
            </w:pPr>
            <w:r>
              <w:rPr>
                <w:b/>
                <w:sz w:val="20"/>
              </w:rPr>
              <w:t>ENV Consultant</w:t>
            </w:r>
          </w:p>
        </w:tc>
        <w:tc>
          <w:tcPr>
            <w:tcW w:w="7559" w:type="dxa"/>
          </w:tcPr>
          <w:p w:rsidR="009E2F6C" w:rsidRDefault="00407B5B">
            <w:pPr>
              <w:pStyle w:val="TableParagraph"/>
              <w:rPr>
                <w:sz w:val="20"/>
              </w:rPr>
            </w:pPr>
            <w:r>
              <w:rPr>
                <w:b/>
                <w:sz w:val="20"/>
              </w:rPr>
              <w:t xml:space="preserve">Qatar Railway Real-estate Project – </w:t>
            </w:r>
            <w:r>
              <w:rPr>
                <w:sz w:val="20"/>
              </w:rPr>
              <w:t>Providing environmental support for the process of the Project’s EIA, this includes waste management and strategies plan.</w:t>
            </w:r>
          </w:p>
        </w:tc>
      </w:tr>
      <w:tr w:rsidR="009E2F6C">
        <w:trPr>
          <w:trHeight w:val="950"/>
        </w:trPr>
        <w:tc>
          <w:tcPr>
            <w:tcW w:w="1974" w:type="dxa"/>
          </w:tcPr>
          <w:p w:rsidR="009E2F6C" w:rsidRDefault="00407B5B">
            <w:pPr>
              <w:pStyle w:val="TableParagraph"/>
              <w:spacing w:before="58"/>
              <w:ind w:left="200"/>
              <w:rPr>
                <w:b/>
                <w:sz w:val="20"/>
              </w:rPr>
            </w:pPr>
            <w:r>
              <w:rPr>
                <w:b/>
                <w:sz w:val="20"/>
              </w:rPr>
              <w:t>ENV Consultant</w:t>
            </w:r>
          </w:p>
        </w:tc>
        <w:tc>
          <w:tcPr>
            <w:tcW w:w="7559" w:type="dxa"/>
          </w:tcPr>
          <w:p w:rsidR="009E2F6C" w:rsidRDefault="00407B5B">
            <w:pPr>
              <w:pStyle w:val="TableParagraph"/>
              <w:spacing w:before="55"/>
              <w:ind w:right="198"/>
              <w:jc w:val="both"/>
              <w:rPr>
                <w:sz w:val="20"/>
              </w:rPr>
            </w:pPr>
            <w:r>
              <w:rPr>
                <w:b/>
                <w:sz w:val="20"/>
              </w:rPr>
              <w:t xml:space="preserve">National Environment Sustainability Program – </w:t>
            </w:r>
            <w:r>
              <w:rPr>
                <w:sz w:val="20"/>
              </w:rPr>
              <w:t>Conducted gap analysis on various gl</w:t>
            </w:r>
            <w:r>
              <w:rPr>
                <w:sz w:val="20"/>
              </w:rPr>
              <w:t>obal environmental legislation and its implementation with the federal ministry of environment.</w:t>
            </w:r>
          </w:p>
        </w:tc>
      </w:tr>
      <w:tr w:rsidR="009E2F6C">
        <w:trPr>
          <w:trHeight w:val="491"/>
        </w:trPr>
        <w:tc>
          <w:tcPr>
            <w:tcW w:w="1974" w:type="dxa"/>
          </w:tcPr>
          <w:p w:rsidR="009E2F6C" w:rsidRDefault="00407B5B">
            <w:pPr>
              <w:pStyle w:val="TableParagraph"/>
              <w:spacing w:before="197"/>
              <w:ind w:left="200"/>
              <w:rPr>
                <w:b/>
                <w:sz w:val="20"/>
              </w:rPr>
            </w:pPr>
            <w:r>
              <w:rPr>
                <w:b/>
                <w:sz w:val="20"/>
                <w:u w:val="thick"/>
              </w:rPr>
              <w:t>2013</w:t>
            </w:r>
          </w:p>
        </w:tc>
        <w:tc>
          <w:tcPr>
            <w:tcW w:w="7559" w:type="dxa"/>
          </w:tcPr>
          <w:p w:rsidR="009E2F6C" w:rsidRDefault="00407B5B">
            <w:pPr>
              <w:pStyle w:val="TableParagraph"/>
              <w:spacing w:before="197"/>
              <w:rPr>
                <w:b/>
                <w:sz w:val="20"/>
              </w:rPr>
            </w:pPr>
            <w:r>
              <w:rPr>
                <w:b/>
                <w:sz w:val="20"/>
                <w:u w:val="thick"/>
              </w:rPr>
              <w:t>Graduated from the American University of Sharjah</w:t>
            </w:r>
          </w:p>
        </w:tc>
      </w:tr>
      <w:tr w:rsidR="009E2F6C">
        <w:trPr>
          <w:trHeight w:val="579"/>
        </w:trPr>
        <w:tc>
          <w:tcPr>
            <w:tcW w:w="1974" w:type="dxa"/>
          </w:tcPr>
          <w:p w:rsidR="009E2F6C" w:rsidRDefault="00407B5B">
            <w:pPr>
              <w:pStyle w:val="TableParagraph"/>
              <w:ind w:left="200"/>
              <w:rPr>
                <w:b/>
                <w:sz w:val="20"/>
              </w:rPr>
            </w:pPr>
            <w:r>
              <w:rPr>
                <w:b/>
                <w:sz w:val="20"/>
              </w:rPr>
              <w:t>Research</w:t>
            </w:r>
          </w:p>
        </w:tc>
        <w:tc>
          <w:tcPr>
            <w:tcW w:w="7559" w:type="dxa"/>
          </w:tcPr>
          <w:p w:rsidR="009E2F6C" w:rsidRDefault="00407B5B">
            <w:pPr>
              <w:pStyle w:val="TableParagraph"/>
              <w:ind w:right="144"/>
              <w:rPr>
                <w:sz w:val="20"/>
              </w:rPr>
            </w:pPr>
            <w:r>
              <w:rPr>
                <w:sz w:val="20"/>
              </w:rPr>
              <w:t>Mahmoud spent his senior years working on Chromium VI adsorption from industrial plants waste water effluent.</w:t>
            </w:r>
          </w:p>
        </w:tc>
      </w:tr>
      <w:tr w:rsidR="009E2F6C">
        <w:trPr>
          <w:trHeight w:val="1300"/>
        </w:trPr>
        <w:tc>
          <w:tcPr>
            <w:tcW w:w="1974" w:type="dxa"/>
          </w:tcPr>
          <w:p w:rsidR="009E2F6C" w:rsidRDefault="00407B5B">
            <w:pPr>
              <w:pStyle w:val="TableParagraph"/>
              <w:spacing w:before="55"/>
              <w:ind w:left="200" w:right="87"/>
              <w:rPr>
                <w:b/>
                <w:sz w:val="20"/>
              </w:rPr>
            </w:pPr>
            <w:r>
              <w:rPr>
                <w:b/>
                <w:sz w:val="20"/>
              </w:rPr>
              <w:t>Film Industry and Travel</w:t>
            </w:r>
          </w:p>
        </w:tc>
        <w:tc>
          <w:tcPr>
            <w:tcW w:w="7559" w:type="dxa"/>
          </w:tcPr>
          <w:p w:rsidR="009E2F6C" w:rsidRDefault="00407B5B">
            <w:pPr>
              <w:pStyle w:val="TableParagraph"/>
              <w:spacing w:before="55"/>
              <w:ind w:right="200"/>
              <w:jc w:val="both"/>
              <w:rPr>
                <w:sz w:val="20"/>
              </w:rPr>
            </w:pPr>
            <w:r>
              <w:rPr>
                <w:sz w:val="20"/>
              </w:rPr>
              <w:t>Post-graduation, Mahmoud took a year off and worked in film industry (Photography and Art Department) and spend his time</w:t>
            </w:r>
            <w:r>
              <w:rPr>
                <w:sz w:val="20"/>
              </w:rPr>
              <w:t xml:space="preserve"> travelling and gaining cultural experience.</w:t>
            </w:r>
          </w:p>
          <w:p w:rsidR="009E2F6C" w:rsidRDefault="00407B5B">
            <w:pPr>
              <w:pStyle w:val="TableParagraph"/>
              <w:spacing w:before="121"/>
              <w:jc w:val="both"/>
              <w:rPr>
                <w:sz w:val="20"/>
              </w:rPr>
            </w:pPr>
            <w:r>
              <w:rPr>
                <w:sz w:val="20"/>
              </w:rPr>
              <w:t>His cultural experience includes a trip around South America and South East Asia</w:t>
            </w:r>
          </w:p>
        </w:tc>
      </w:tr>
      <w:tr w:rsidR="009E2F6C">
        <w:trPr>
          <w:trHeight w:val="491"/>
        </w:trPr>
        <w:tc>
          <w:tcPr>
            <w:tcW w:w="1974" w:type="dxa"/>
          </w:tcPr>
          <w:p w:rsidR="009E2F6C" w:rsidRDefault="00407B5B">
            <w:pPr>
              <w:pStyle w:val="TableParagraph"/>
              <w:spacing w:before="197"/>
              <w:ind w:left="200"/>
              <w:rPr>
                <w:b/>
                <w:sz w:val="20"/>
              </w:rPr>
            </w:pPr>
            <w:r>
              <w:rPr>
                <w:b/>
                <w:sz w:val="20"/>
                <w:u w:val="thick"/>
              </w:rPr>
              <w:t>Up to 2012</w:t>
            </w:r>
          </w:p>
        </w:tc>
        <w:tc>
          <w:tcPr>
            <w:tcW w:w="7559" w:type="dxa"/>
          </w:tcPr>
          <w:p w:rsidR="009E2F6C" w:rsidRDefault="00407B5B">
            <w:pPr>
              <w:pStyle w:val="TableParagraph"/>
              <w:spacing w:before="197"/>
              <w:rPr>
                <w:b/>
                <w:sz w:val="20"/>
              </w:rPr>
            </w:pPr>
            <w:r>
              <w:rPr>
                <w:b/>
                <w:sz w:val="20"/>
                <w:u w:val="thick"/>
              </w:rPr>
              <w:t>Internship at WSP Middle East</w:t>
            </w:r>
          </w:p>
        </w:tc>
      </w:tr>
      <w:tr w:rsidR="009E2F6C">
        <w:trPr>
          <w:trHeight w:val="579"/>
        </w:trPr>
        <w:tc>
          <w:tcPr>
            <w:tcW w:w="1974" w:type="dxa"/>
          </w:tcPr>
          <w:p w:rsidR="009E2F6C" w:rsidRDefault="009E2F6C">
            <w:pPr>
              <w:pStyle w:val="TableParagraph"/>
              <w:spacing w:before="0"/>
              <w:ind w:left="0"/>
              <w:rPr>
                <w:rFonts w:ascii="Times New Roman"/>
                <w:sz w:val="20"/>
              </w:rPr>
            </w:pPr>
          </w:p>
        </w:tc>
        <w:tc>
          <w:tcPr>
            <w:tcW w:w="7559" w:type="dxa"/>
          </w:tcPr>
          <w:p w:rsidR="009E2F6C" w:rsidRDefault="00407B5B">
            <w:pPr>
              <w:pStyle w:val="TableParagraph"/>
              <w:spacing w:before="57"/>
              <w:ind w:right="144"/>
              <w:rPr>
                <w:sz w:val="20"/>
              </w:rPr>
            </w:pPr>
            <w:r>
              <w:rPr>
                <w:sz w:val="20"/>
              </w:rPr>
              <w:t>Desktop research on Airport Carbon Accreditation (ACA) and implementation within the region.</w:t>
            </w:r>
          </w:p>
        </w:tc>
      </w:tr>
      <w:tr w:rsidR="009E2F6C">
        <w:trPr>
          <w:trHeight w:val="579"/>
        </w:trPr>
        <w:tc>
          <w:tcPr>
            <w:tcW w:w="1974" w:type="dxa"/>
          </w:tcPr>
          <w:p w:rsidR="009E2F6C" w:rsidRDefault="009E2F6C">
            <w:pPr>
              <w:pStyle w:val="TableParagraph"/>
              <w:spacing w:before="0"/>
              <w:ind w:left="0"/>
              <w:rPr>
                <w:rFonts w:ascii="Times New Roman"/>
                <w:sz w:val="20"/>
              </w:rPr>
            </w:pPr>
          </w:p>
        </w:tc>
        <w:tc>
          <w:tcPr>
            <w:tcW w:w="7559" w:type="dxa"/>
          </w:tcPr>
          <w:p w:rsidR="009E2F6C" w:rsidRDefault="00407B5B">
            <w:pPr>
              <w:pStyle w:val="TableParagraph"/>
              <w:spacing w:before="55"/>
              <w:ind w:right="144"/>
              <w:rPr>
                <w:sz w:val="20"/>
              </w:rPr>
            </w:pPr>
            <w:r>
              <w:rPr>
                <w:sz w:val="20"/>
              </w:rPr>
              <w:t>Desktop research on Gold LEED awards and implementation at Fujairah City Centre</w:t>
            </w:r>
          </w:p>
        </w:tc>
      </w:tr>
      <w:tr w:rsidR="009E2F6C">
        <w:trPr>
          <w:trHeight w:val="516"/>
        </w:trPr>
        <w:tc>
          <w:tcPr>
            <w:tcW w:w="1974" w:type="dxa"/>
          </w:tcPr>
          <w:p w:rsidR="009E2F6C" w:rsidRDefault="009E2F6C">
            <w:pPr>
              <w:pStyle w:val="TableParagraph"/>
              <w:spacing w:before="0"/>
              <w:ind w:left="0"/>
              <w:rPr>
                <w:rFonts w:ascii="Times New Roman"/>
                <w:sz w:val="20"/>
              </w:rPr>
            </w:pPr>
          </w:p>
        </w:tc>
        <w:tc>
          <w:tcPr>
            <w:tcW w:w="7559" w:type="dxa"/>
          </w:tcPr>
          <w:p w:rsidR="009E2F6C" w:rsidRDefault="00407B5B">
            <w:pPr>
              <w:pStyle w:val="TableParagraph"/>
              <w:spacing w:line="230" w:lineRule="atLeast"/>
              <w:ind w:right="144"/>
              <w:rPr>
                <w:sz w:val="20"/>
              </w:rPr>
            </w:pPr>
            <w:r>
              <w:rPr>
                <w:sz w:val="20"/>
              </w:rPr>
              <w:t>Preliminary Assessments for various infrastructure projects including Etihad Railway</w:t>
            </w:r>
          </w:p>
        </w:tc>
      </w:tr>
    </w:tbl>
    <w:p w:rsidR="009E2F6C" w:rsidRDefault="00407B5B">
      <w:pPr>
        <w:spacing w:before="131"/>
        <w:ind w:left="300"/>
        <w:rPr>
          <w:b/>
          <w:sz w:val="32"/>
        </w:rPr>
      </w:pPr>
      <w:r>
        <w:rPr>
          <w:b/>
          <w:sz w:val="32"/>
        </w:rPr>
        <w:t>Professional Qualifications</w:t>
      </w:r>
    </w:p>
    <w:p w:rsidR="009E2F6C" w:rsidRDefault="00407B5B">
      <w:pPr>
        <w:pStyle w:val="BodyText"/>
        <w:spacing w:before="119"/>
      </w:pPr>
      <w:r>
        <w:t>Bachelor’s Degree of Environmental Science; Chemistry concentration; American University of Sharjah</w:t>
      </w:r>
    </w:p>
    <w:p w:rsidR="009E2F6C" w:rsidRDefault="00407B5B">
      <w:pPr>
        <w:spacing w:before="121"/>
        <w:ind w:left="300"/>
        <w:rPr>
          <w:sz w:val="24"/>
        </w:rPr>
      </w:pPr>
      <w:r>
        <w:rPr>
          <w:sz w:val="24"/>
        </w:rPr>
        <w:t>Research</w:t>
      </w:r>
    </w:p>
    <w:p w:rsidR="009E2F6C" w:rsidRDefault="00407B5B">
      <w:pPr>
        <w:pStyle w:val="BodyText"/>
        <w:spacing w:before="119" w:line="364" w:lineRule="auto"/>
        <w:ind w:right="420"/>
      </w:pPr>
      <w:r>
        <w:t xml:space="preserve">Concurrent Removal and Reduction of Cr (VI) by Wool: Short and Long Term Equilibration Studies URL: </w:t>
      </w:r>
      <w:hyperlink r:id="rId13">
        <w:r>
          <w:rPr>
            <w:color w:val="0462C1"/>
            <w:u w:val="single" w:color="0462C1"/>
          </w:rPr>
          <w:t>http://www.scirp.org/journal/PaperInformation.aspx?PaperID=53055</w:t>
        </w:r>
      </w:hyperlink>
    </w:p>
    <w:sectPr w:rsidR="009E2F6C">
      <w:pgSz w:w="12240" w:h="15840"/>
      <w:pgMar w:top="1480" w:right="1240" w:bottom="900" w:left="1140" w:header="293"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B5B" w:rsidRDefault="00407B5B">
      <w:r>
        <w:separator/>
      </w:r>
    </w:p>
  </w:endnote>
  <w:endnote w:type="continuationSeparator" w:id="0">
    <w:p w:rsidR="00407B5B" w:rsidRDefault="00407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25D" w:rsidRDefault="00354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F6C" w:rsidRDefault="00407B5B">
    <w:pPr>
      <w:pStyle w:val="BodyText"/>
      <w:spacing w:line="14" w:lineRule="auto"/>
      <w:ind w:left="0"/>
    </w:pPr>
    <w:r>
      <w:pict>
        <v:shapetype id="_x0000_t202" coordsize="21600,21600" o:spt="202" path="m,l,21600r21600,l21600,xe">
          <v:stroke joinstyle="miter"/>
          <v:path gradientshapeok="t" o:connecttype="rect"/>
        </v:shapetype>
        <v:shape id="_x0000_s2050" type="#_x0000_t202" style="position:absolute;margin-left:71pt;margin-top:745.5pt;width:88.65pt;height:24.55pt;z-index:-8080;mso-position-horizontal-relative:page;mso-position-vertical-relative:page" filled="f" stroked="f">
          <v:textbox inset="0,0,0,0">
            <w:txbxContent>
              <w:p w:rsidR="009E2F6C" w:rsidRDefault="00407B5B">
                <w:pPr>
                  <w:pStyle w:val="BodyText"/>
                  <w:spacing w:before="12"/>
                  <w:ind w:left="20" w:right="-2"/>
                </w:pPr>
                <w:r>
                  <w:t xml:space="preserve">Curriculum Vitae Mahmoud </w:t>
                </w:r>
                <w:proofErr w:type="spellStart"/>
                <w:r>
                  <w:t>Abourich</w:t>
                </w:r>
                <w:proofErr w:type="spellEnd"/>
              </w:p>
            </w:txbxContent>
          </v:textbox>
          <w10:wrap anchorx="page" anchory="page"/>
        </v:shape>
      </w:pict>
    </w:r>
    <w:r>
      <w:pict>
        <v:shape id="_x0000_s2049" type="#_x0000_t202" style="position:absolute;margin-left:297.45pt;margin-top:756.85pt;width:18.55pt;height:11pt;z-index:-8056;mso-position-horizontal-relative:page;mso-position-vertical-relative:page" filled="f" stroked="f">
          <v:textbox inset="0,0,0,0">
            <w:txbxContent>
              <w:p w:rsidR="009E2F6C" w:rsidRDefault="00407B5B">
                <w:pPr>
                  <w:spacing w:before="15"/>
                  <w:ind w:left="40"/>
                  <w:rPr>
                    <w:sz w:val="16"/>
                  </w:rPr>
                </w:pPr>
                <w:r>
                  <w:fldChar w:fldCharType="begin"/>
                </w:r>
                <w:r>
                  <w:rPr>
                    <w:sz w:val="16"/>
                  </w:rPr>
                  <w:instrText xml:space="preserve"> PAGE </w:instrText>
                </w:r>
                <w:r>
                  <w:fldChar w:fldCharType="separate"/>
                </w:r>
                <w:r>
                  <w:t>1</w:t>
                </w:r>
                <w:r>
                  <w:fldChar w:fldCharType="end"/>
                </w:r>
                <w:r>
                  <w:rPr>
                    <w:sz w:val="16"/>
                  </w:rPr>
                  <w:t xml:space="preserve"> | 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25D" w:rsidRDefault="00354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B5B" w:rsidRDefault="00407B5B">
      <w:r>
        <w:separator/>
      </w:r>
    </w:p>
  </w:footnote>
  <w:footnote w:type="continuationSeparator" w:id="0">
    <w:p w:rsidR="00407B5B" w:rsidRDefault="00407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25D" w:rsidRDefault="00354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F6C" w:rsidRDefault="0035425D">
    <w:pPr>
      <w:pStyle w:val="BodyText"/>
      <w:spacing w:line="14" w:lineRule="auto"/>
      <w:ind w:left="0"/>
    </w:pPr>
    <w:bookmarkStart w:id="0" w:name="_GoBack"/>
    <w:bookmarkEnd w:id="0"/>
    <w:r>
      <w:pict>
        <v:shapetype id="_x0000_t202" coordsize="21600,21600" o:spt="202" path="m,l,21600r21600,l21600,xe">
          <v:stroke joinstyle="miter"/>
          <v:path gradientshapeok="t" o:connecttype="rect"/>
        </v:shapetype>
        <v:shape id="_x0000_s2051" type="#_x0000_t202" style="position:absolute;margin-left:325.7pt;margin-top:29.15pt;width:67.6pt;height:52pt;z-index:-8104;mso-position-horizontal-relative:page;mso-position-vertical-relative:page" filled="f" stroked="f">
          <v:textbox inset="0,0,0,0">
            <w:txbxContent>
              <w:p w:rsidR="0035425D" w:rsidRDefault="0035425D" w:rsidP="0035425D">
                <w:pPr>
                  <w:spacing w:line="360" w:lineRule="auto"/>
                  <w:ind w:left="20" w:right="2"/>
                  <w:jc w:val="right"/>
                  <w:rPr>
                    <w:sz w:val="18"/>
                  </w:rPr>
                </w:pPr>
                <w:r>
                  <w:rPr>
                    <w:sz w:val="18"/>
                  </w:rPr>
                  <w:t>E</w:t>
                </w:r>
                <w:r w:rsidR="00407B5B">
                  <w:rPr>
                    <w:sz w:val="18"/>
                  </w:rPr>
                  <w:t>mail</w:t>
                </w:r>
                <w:r w:rsidR="00407B5B" w:rsidRPr="0035425D">
                  <w:rPr>
                    <w:sz w:val="18"/>
                  </w:rPr>
                  <w:t xml:space="preserve"> </w:t>
                </w:r>
                <w:r w:rsidR="00407B5B">
                  <w:rPr>
                    <w:sz w:val="18"/>
                  </w:rPr>
                  <w:t>A</w:t>
                </w:r>
                <w:r>
                  <w:rPr>
                    <w:sz w:val="18"/>
                  </w:rPr>
                  <w:t>d</w:t>
                </w:r>
                <w:r w:rsidR="00407B5B">
                  <w:rPr>
                    <w:sz w:val="18"/>
                  </w:rPr>
                  <w:t>dress</w:t>
                </w:r>
              </w:p>
              <w:p w:rsidR="009E2F6C" w:rsidRDefault="00407B5B" w:rsidP="0035425D">
                <w:pPr>
                  <w:spacing w:line="360" w:lineRule="auto"/>
                  <w:ind w:left="20" w:right="2"/>
                  <w:jc w:val="right"/>
                  <w:rPr>
                    <w:sz w:val="18"/>
                  </w:rPr>
                </w:pPr>
                <w:r>
                  <w:rPr>
                    <w:sz w:val="18"/>
                  </w:rPr>
                  <w:t>Contact</w:t>
                </w:r>
                <w:r w:rsidRPr="0035425D">
                  <w:rPr>
                    <w:sz w:val="18"/>
                  </w:rPr>
                  <w:t xml:space="preserve"> </w:t>
                </w:r>
                <w:r>
                  <w:rPr>
                    <w:sz w:val="18"/>
                  </w:rPr>
                  <w:t>Number</w:t>
                </w:r>
              </w:p>
              <w:p w:rsidR="0035425D" w:rsidRDefault="0035425D" w:rsidP="0035425D">
                <w:pPr>
                  <w:spacing w:line="360" w:lineRule="auto"/>
                  <w:ind w:left="20"/>
                  <w:jc w:val="right"/>
                  <w:rPr>
                    <w:sz w:val="18"/>
                  </w:rPr>
                </w:pPr>
                <w:r>
                  <w:rPr>
                    <w:sz w:val="18"/>
                  </w:rPr>
                  <w:t xml:space="preserve">Status </w:t>
                </w:r>
              </w:p>
            </w:txbxContent>
          </v:textbox>
          <w10:wrap anchorx="page" anchory="page"/>
        </v:shape>
      </w:pict>
    </w:r>
    <w:r>
      <w:pict>
        <v:shape id="_x0000_s2052" type="#_x0000_t202" style="position:absolute;margin-left:406pt;margin-top:13.65pt;width:129.35pt;height:72.1pt;z-index:-8128;mso-position-horizontal-relative:page;mso-position-vertical-relative:page" filled="f" stroked="f">
          <v:textbox inset="0,0,0,0">
            <w:txbxContent>
              <w:p w:rsidR="009E2F6C" w:rsidRDefault="00407B5B" w:rsidP="0035425D">
                <w:pPr>
                  <w:spacing w:line="360" w:lineRule="auto"/>
                  <w:ind w:left="20" w:right="2" w:firstLine="1214"/>
                  <w:jc w:val="right"/>
                  <w:rPr>
                    <w:sz w:val="18"/>
                  </w:rPr>
                </w:pPr>
                <w:r>
                  <w:rPr>
                    <w:color w:val="666364"/>
                    <w:sz w:val="18"/>
                  </w:rPr>
                  <w:t xml:space="preserve">Curriculum Vitae </w:t>
                </w:r>
                <w:hyperlink r:id="rId1">
                  <w:r>
                    <w:rPr>
                      <w:sz w:val="18"/>
                    </w:rPr>
                    <w:t>m</w:t>
                  </w:r>
                  <w:r>
                    <w:rPr>
                      <w:sz w:val="18"/>
                    </w:rPr>
                    <w:t>a</w:t>
                  </w:r>
                  <w:r>
                    <w:rPr>
                      <w:sz w:val="18"/>
                    </w:rPr>
                    <w:t>hmoud.abourich@gmail.com</w:t>
                  </w:r>
                </w:hyperlink>
              </w:p>
              <w:p w:rsidR="0035425D" w:rsidRDefault="0035425D" w:rsidP="0035425D">
                <w:pPr>
                  <w:spacing w:line="360" w:lineRule="auto"/>
                  <w:ind w:left="1107"/>
                  <w:jc w:val="right"/>
                  <w:rPr>
                    <w:sz w:val="18"/>
                  </w:rPr>
                </w:pPr>
                <w:r w:rsidRPr="0035425D">
                  <w:rPr>
                    <w:sz w:val="18"/>
                  </w:rPr>
                  <w:t>+1 437 247 7774</w:t>
                </w:r>
              </w:p>
              <w:p w:rsidR="0035425D" w:rsidRDefault="0035425D" w:rsidP="0035425D">
                <w:pPr>
                  <w:spacing w:after="240" w:line="360" w:lineRule="auto"/>
                  <w:ind w:left="1107"/>
                  <w:jc w:val="right"/>
                  <w:rPr>
                    <w:sz w:val="18"/>
                  </w:rPr>
                </w:pPr>
                <w:r>
                  <w:rPr>
                    <w:sz w:val="18"/>
                  </w:rPr>
                  <w:t xml:space="preserve">PR Resident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25D" w:rsidRDefault="0035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E2F6C"/>
    <w:rsid w:val="0035425D"/>
    <w:rsid w:val="00407B5B"/>
    <w:rsid w:val="009E2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788EA21"/>
  <w15:docId w15:val="{3C94F358-9A76-4144-BFF6-A1B3A179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6"/>
      <w:ind w:left="109"/>
    </w:pPr>
  </w:style>
  <w:style w:type="paragraph" w:styleId="Header">
    <w:name w:val="header"/>
    <w:basedOn w:val="Normal"/>
    <w:link w:val="HeaderChar"/>
    <w:uiPriority w:val="99"/>
    <w:unhideWhenUsed/>
    <w:rsid w:val="0035425D"/>
    <w:pPr>
      <w:tabs>
        <w:tab w:val="center" w:pos="4680"/>
        <w:tab w:val="right" w:pos="9360"/>
      </w:tabs>
    </w:pPr>
  </w:style>
  <w:style w:type="character" w:customStyle="1" w:styleId="HeaderChar">
    <w:name w:val="Header Char"/>
    <w:basedOn w:val="DefaultParagraphFont"/>
    <w:link w:val="Header"/>
    <w:uiPriority w:val="99"/>
    <w:rsid w:val="0035425D"/>
    <w:rPr>
      <w:rFonts w:ascii="Arial" w:eastAsia="Arial" w:hAnsi="Arial" w:cs="Arial"/>
      <w:lang w:bidi="en-US"/>
    </w:rPr>
  </w:style>
  <w:style w:type="paragraph" w:styleId="Footer">
    <w:name w:val="footer"/>
    <w:basedOn w:val="Normal"/>
    <w:link w:val="FooterChar"/>
    <w:uiPriority w:val="99"/>
    <w:unhideWhenUsed/>
    <w:rsid w:val="0035425D"/>
    <w:pPr>
      <w:tabs>
        <w:tab w:val="center" w:pos="4680"/>
        <w:tab w:val="right" w:pos="9360"/>
      </w:tabs>
    </w:pPr>
  </w:style>
  <w:style w:type="character" w:customStyle="1" w:styleId="FooterChar">
    <w:name w:val="Footer Char"/>
    <w:basedOn w:val="DefaultParagraphFont"/>
    <w:link w:val="Footer"/>
    <w:uiPriority w:val="99"/>
    <w:rsid w:val="0035425D"/>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cirp.org/journal/PaperInformation.aspx?PaperID=53055"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ahmoud.abouri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Abourich</dc:creator>
  <cp:lastModifiedBy>Sally Dabbour</cp:lastModifiedBy>
  <cp:revision>2</cp:revision>
  <dcterms:created xsi:type="dcterms:W3CDTF">2019-04-25T12:56:00Z</dcterms:created>
  <dcterms:modified xsi:type="dcterms:W3CDTF">2019-04-25T12:56:00Z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2018-07-04T00:00:00Z</vt:filetime>
  </property>
  <property fmtid="{D5CDD505-2E9C-101B-9397-08002B2CF9AE}" pid="3" name="Creator">
    <vt:lpwstr>Microsoft® Word 2016</vt:lpwstr>
  </property>
  <property fmtid="{D5CDD505-2E9C-101B-9397-08002B2CF9AE}" pid="4" name="LastSaved">
    <vt:filetime>2018-08-15T00:00:00Z</vt:filetime>
  </property>
</Properties>
</file>