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307FE2"/>
          <w:sz w:val="20"/>
          <w:szCs w:val="20"/>
        </w:rPr>
        <w:t xml:space="preserve">DOK Solutions Lanka</w:t>
      </w:r>
    </w:p>
    <w:p>
      <w:pPr>
        <w:spacing w:after="80" w:before="200"/>
      </w:pPr>
      <w:r>
        <w:rPr>
          <w:b/>
          <w:bCs/>
          <w:color w:val="1F3864"/>
          <w:sz w:val="44"/>
          <w:szCs w:val="44"/>
        </w:rPr>
        <w:t xml:space="preserve">Configurable Document Workflow Engine</w:t>
      </w:r>
    </w:p>
    <w:p>
      <w:pPr>
        <w:spacing w:after="400"/>
      </w:pPr>
      <w:r>
        <w:rPr>
          <w:color w:val="666666"/>
          <w:sz w:val="28"/>
          <w:szCs w:val="28"/>
        </w:rPr>
        <w:t xml:space="preserve">Phase 1 Implementation Plan — Full Detail</w:t>
      </w:r>
    </w:p>
    <w:p>
      <w:pPr>
        <w:pStyle w:val="Heading1"/>
        <w:spacing w:after="150" w:before="300"/>
      </w:pPr>
      <w:r>
        <w:t xml:space="preserve">1. Overview</w:t>
      </w:r>
    </w:p>
    <w:p>
      <w:pPr>
        <w:spacing w:after="120"/>
      </w:pPr>
      <w:r>
        <w:t xml:space="preserve">This document defines the Phase 1 build plan for a configurable, multi-stage document approval workflow engine. It is designed as a standalone, sellable product from the outset, with a later integration path into the DocuMind DMS platform. Each customer can define their own document types, template library, and stage sequence without code changes. This revision expands every phase into concrete, checkable sub-tasks and adds a dedicated section on the security and software-engineering principles the build follows.</w:t>
      </w:r>
    </w:p>
    <w:p>
      <w:pPr>
        <w:pStyle w:val="Heading1"/>
        <w:spacing w:after="150" w:before="300"/>
      </w:pPr>
      <w:r>
        <w:t xml:space="preserve">2. Core Workflow</w:t>
      </w:r>
    </w:p>
    <w:p>
      <w:pPr>
        <w:pStyle w:val="ListParagraph"/>
        <w:numPr>
          <w:ilvl w:val="0"/>
          <w:numId w:val="1"/>
        </w:numPr>
        <w:spacing w:after="60"/>
      </w:pPr>
      <w:r>
        <w:t xml:space="preserve">A person selects a predefined document type (e.g. SRS, HR letter) from the tenant's template library.</w:t>
      </w:r>
    </w:p>
    <w:p>
      <w:pPr>
        <w:pStyle w:val="ListParagraph"/>
        <w:numPr>
          <w:ilvl w:val="0"/>
          <w:numId w:val="1"/>
        </w:numPr>
        <w:spacing w:after="60"/>
      </w:pPr>
      <w:r>
        <w:t xml:space="preserve">The system creates a new workflow instance and loads the master template as the starting file.</w:t>
      </w:r>
    </w:p>
    <w:p>
      <w:pPr>
        <w:pStyle w:val="ListParagraph"/>
        <w:numPr>
          <w:ilvl w:val="0"/>
          <w:numId w:val="1"/>
        </w:numPr>
        <w:spacing w:after="60"/>
      </w:pPr>
      <w:r>
        <w:t xml:space="preserve">Stage 1's assignee downloads the file, edits it fully, and re-uploads it as a new saved version.</w:t>
      </w:r>
    </w:p>
    <w:p>
      <w:pPr>
        <w:pStyle w:val="ListParagraph"/>
        <w:numPr>
          <w:ilvl w:val="0"/>
          <w:numId w:val="1"/>
        </w:numPr>
        <w:spacing w:after="60"/>
      </w:pPr>
      <w:r>
        <w:t xml:space="preserve">They forward it to Stage 2. Stage 2 can edit and forward, send it back to Stage 1, or hard reject it.</w:t>
      </w:r>
    </w:p>
    <w:p>
      <w:pPr>
        <w:pStyle w:val="ListParagraph"/>
        <w:numPr>
          <w:ilvl w:val="0"/>
          <w:numId w:val="1"/>
        </w:numPr>
        <w:spacing w:after="60"/>
      </w:pPr>
      <w:r>
        <w:t xml:space="preserve">The same pattern repeats for Stage 3, 4, and beyond, as configured per workflow.</w:t>
      </w:r>
    </w:p>
    <w:p>
      <w:pPr>
        <w:pStyle w:val="ListParagraph"/>
        <w:numPr>
          <w:ilvl w:val="0"/>
          <w:numId w:val="1"/>
        </w:numPr>
        <w:spacing w:after="60"/>
      </w:pPr>
      <w:r>
        <w:t xml:space="preserve">Every transition (forward, send back, reject) sends an email notification to the relevant people.</w:t>
      </w:r>
    </w:p>
    <w:p>
      <w:pPr>
        <w:pStyle w:val="Heading1"/>
        <w:spacing w:after="150" w:before="300"/>
      </w:pPr>
      <w:r>
        <w:t xml:space="preserve">3. Data Model</w:t>
      </w:r>
    </w:p>
    <w:p>
      <w:pPr>
        <w:spacing w:after="120"/>
      </w:pPr>
      <w:r>
        <w:t xml:space="preserve">The schema is tenant-scoped throughout, so a single deployment can serve multiple customers with independent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307FE2" w:val="clear"/>
          </w:tcPr>
          <w:p>
            <w:r>
              <w:rPr>
                <w:b/>
                <w:bCs/>
                <w:color w:val="FFFFFF"/>
                <w:sz w:val="20"/>
                <w:szCs w:val="20"/>
              </w:rPr>
              <w:t xml:space="preserve">Entity</w:t>
            </w:r>
          </w:p>
        </w:tc>
        <w:tc>
          <w:tcPr>
            <w:tcW w:type="dxa" w:w="6300"/>
            <w:shd w:fill="307FE2" w:val="clear"/>
          </w:tcPr>
          <w:p>
            <w:r>
              <w:rPr>
                <w:b/>
                <w:bCs/>
                <w:color w:val="FFFFFF"/>
                <w:sz w:val="20"/>
                <w:szCs w:val="20"/>
              </w:rPr>
              <w:t xml:space="preserve">Purpose</w:t>
            </w:r>
          </w:p>
        </w:tc>
      </w:tr>
      <w:tr>
        <w:tc>
          <w:tcPr>
            <w:tcW w:type="dxa" w:w="3200"/>
          </w:tcPr>
          <w:p>
            <w:r>
              <w:rPr>
                <w:b w:val="false"/>
                <w:bCs w:val="false"/>
                <w:sz w:val="20"/>
                <w:szCs w:val="20"/>
              </w:rPr>
              <w:t xml:space="preserve">tenants</w:t>
            </w:r>
          </w:p>
        </w:tc>
        <w:tc>
          <w:tcPr>
            <w:tcW w:type="dxa" w:w="6300"/>
          </w:tcPr>
          <w:p>
            <w:r>
              <w:rPr>
                <w:b w:val="false"/>
                <w:bCs w:val="false"/>
                <w:sz w:val="20"/>
                <w:szCs w:val="20"/>
              </w:rPr>
              <w:t xml:space="preserve">Root of multi-tenancy; every other table scopes to a tenant_id</w:t>
            </w:r>
          </w:p>
        </w:tc>
      </w:tr>
      <w:tr>
        <w:tc>
          <w:tcPr>
            <w:tcW w:type="dxa" w:w="3200"/>
            <w:shd w:fill="F2F2F2" w:val="clear"/>
          </w:tcPr>
          <w:p>
            <w:r>
              <w:rPr>
                <w:b w:val="false"/>
                <w:bCs w:val="false"/>
                <w:sz w:val="20"/>
                <w:szCs w:val="20"/>
              </w:rPr>
              <w:t xml:space="preserve">users / roles / user_roles</w:t>
            </w:r>
          </w:p>
        </w:tc>
        <w:tc>
          <w:tcPr>
            <w:tcW w:type="dxa" w:w="6300"/>
            <w:shd w:fill="F2F2F2" w:val="clear"/>
          </w:tcPr>
          <w:p>
            <w:r>
              <w:rPr>
                <w:b w:val="false"/>
                <w:bCs w:val="false"/>
                <w:sz w:val="20"/>
                <w:szCs w:val="20"/>
              </w:rPr>
              <w:t xml:space="preserve">Per-tenant users, named roles, and role membership</w:t>
            </w:r>
          </w:p>
        </w:tc>
      </w:tr>
      <w:tr>
        <w:tc>
          <w:tcPr>
            <w:tcW w:type="dxa" w:w="3200"/>
          </w:tcPr>
          <w:p>
            <w:r>
              <w:rPr>
                <w:b w:val="false"/>
                <w:bCs w:val="false"/>
                <w:sz w:val="20"/>
                <w:szCs w:val="20"/>
              </w:rPr>
              <w:t xml:space="preserve">template_files / template_file_versions</w:t>
            </w:r>
          </w:p>
        </w:tc>
        <w:tc>
          <w:tcPr>
            <w:tcW w:type="dxa" w:w="6300"/>
          </w:tcPr>
          <w:p>
            <w:r>
              <w:rPr>
                <w:b w:val="false"/>
                <w:bCs w:val="false"/>
                <w:sz w:val="20"/>
                <w:szCs w:val="20"/>
              </w:rPr>
              <w:t xml:space="preserve">Master template library (SRS, HR letter, etc.), versioned for immutability</w:t>
            </w:r>
          </w:p>
        </w:tc>
      </w:tr>
      <w:tr>
        <w:tc>
          <w:tcPr>
            <w:tcW w:type="dxa" w:w="3200"/>
            <w:shd w:fill="F2F2F2" w:val="clear"/>
          </w:tcPr>
          <w:p>
            <w:r>
              <w:rPr>
                <w:b w:val="false"/>
                <w:bCs w:val="false"/>
                <w:sz w:val="20"/>
                <w:szCs w:val="20"/>
              </w:rPr>
              <w:t xml:space="preserve">document_types</w:t>
            </w:r>
          </w:p>
        </w:tc>
        <w:tc>
          <w:tcPr>
            <w:tcW w:type="dxa" w:w="6300"/>
            <w:shd w:fill="F2F2F2" w:val="clear"/>
          </w:tcPr>
          <w:p>
            <w:r>
              <w:rPr>
                <w:b w:val="false"/>
                <w:bCs w:val="false"/>
                <w:sz w:val="20"/>
                <w:szCs w:val="20"/>
              </w:rPr>
              <w:t xml:space="preserve">Predefined selectable document types; links a template to a workflow</w:t>
            </w:r>
          </w:p>
        </w:tc>
      </w:tr>
      <w:tr>
        <w:tc>
          <w:tcPr>
            <w:tcW w:type="dxa" w:w="3200"/>
          </w:tcPr>
          <w:p>
            <w:r>
              <w:rPr>
                <w:b w:val="false"/>
                <w:bCs w:val="false"/>
                <w:sz w:val="20"/>
                <w:szCs w:val="20"/>
              </w:rPr>
              <w:t xml:space="preserve">workflow_templates / workflow_stages</w:t>
            </w:r>
          </w:p>
        </w:tc>
        <w:tc>
          <w:tcPr>
            <w:tcW w:type="dxa" w:w="6300"/>
          </w:tcPr>
          <w:p>
            <w:r>
              <w:rPr>
                <w:b w:val="false"/>
                <w:bCs w:val="false"/>
                <w:sz w:val="20"/>
                <w:szCs w:val="20"/>
              </w:rPr>
              <w:t xml:space="preserve">Configurable stage sequence per tenant; each stage is user- or role-assigned</w:t>
            </w:r>
          </w:p>
        </w:tc>
      </w:tr>
      <w:tr>
        <w:tc>
          <w:tcPr>
            <w:tcW w:type="dxa" w:w="3200"/>
            <w:shd w:fill="F2F2F2" w:val="clear"/>
          </w:tcPr>
          <w:p>
            <w:r>
              <w:rPr>
                <w:b w:val="false"/>
                <w:bCs w:val="false"/>
                <w:sz w:val="20"/>
                <w:szCs w:val="20"/>
              </w:rPr>
              <w:t xml:space="preserve">workflow_instances</w:t>
            </w:r>
          </w:p>
        </w:tc>
        <w:tc>
          <w:tcPr>
            <w:tcW w:type="dxa" w:w="6300"/>
            <w:shd w:fill="F2F2F2" w:val="clear"/>
          </w:tcPr>
          <w:p>
            <w:r>
              <w:rPr>
                <w:b w:val="false"/>
                <w:bCs w:val="false"/>
                <w:sz w:val="20"/>
                <w:szCs w:val="20"/>
              </w:rPr>
              <w:t xml:space="preserve">One running document; tracks current stage, status, and claim state</w:t>
            </w:r>
          </w:p>
        </w:tc>
      </w:tr>
      <w:tr>
        <w:tc>
          <w:tcPr>
            <w:tcW w:type="dxa" w:w="3200"/>
          </w:tcPr>
          <w:p>
            <w:r>
              <w:rPr>
                <w:b w:val="false"/>
                <w:bCs w:val="false"/>
                <w:sz w:val="20"/>
                <w:szCs w:val="20"/>
              </w:rPr>
              <w:t xml:space="preserve">instance_versions</w:t>
            </w:r>
          </w:p>
        </w:tc>
        <w:tc>
          <w:tcPr>
            <w:tcW w:type="dxa" w:w="6300"/>
          </w:tcPr>
          <w:p>
            <w:r>
              <w:rPr>
                <w:b w:val="false"/>
                <w:bCs w:val="false"/>
                <w:sz w:val="20"/>
                <w:szCs w:val="20"/>
              </w:rPr>
              <w:t xml:space="preserve">Every edit/save, versioned, nothing overwritten</w:t>
            </w:r>
          </w:p>
        </w:tc>
      </w:tr>
      <w:tr>
        <w:tc>
          <w:tcPr>
            <w:tcW w:type="dxa" w:w="3200"/>
            <w:shd w:fill="F2F2F2" w:val="clear"/>
          </w:tcPr>
          <w:p>
            <w:r>
              <w:rPr>
                <w:b w:val="false"/>
                <w:bCs w:val="false"/>
                <w:sz w:val="20"/>
                <w:szCs w:val="20"/>
              </w:rPr>
              <w:t xml:space="preserve">stage_actions</w:t>
            </w:r>
          </w:p>
        </w:tc>
        <w:tc>
          <w:tcPr>
            <w:tcW w:type="dxa" w:w="6300"/>
            <w:shd w:fill="F2F2F2" w:val="clear"/>
          </w:tcPr>
          <w:p>
            <w:r>
              <w:rPr>
                <w:b w:val="false"/>
                <w:bCs w:val="false"/>
                <w:sz w:val="20"/>
                <w:szCs w:val="20"/>
              </w:rPr>
              <w:t xml:space="preserve">Full audit trail: forward, send back, reject, reassign, claim</w:t>
            </w:r>
          </w:p>
        </w:tc>
      </w:tr>
      <w:tr>
        <w:tc>
          <w:tcPr>
            <w:tcW w:type="dxa" w:w="3200"/>
          </w:tcPr>
          <w:p>
            <w:r>
              <w:rPr>
                <w:b w:val="false"/>
                <w:bCs w:val="false"/>
                <w:sz w:val="20"/>
                <w:szCs w:val="20"/>
              </w:rPr>
              <w:t xml:space="preserve">notifications</w:t>
            </w:r>
          </w:p>
        </w:tc>
        <w:tc>
          <w:tcPr>
            <w:tcW w:type="dxa" w:w="6300"/>
          </w:tcPr>
          <w:p>
            <w:r>
              <w:rPr>
                <w:b w:val="false"/>
                <w:bCs w:val="false"/>
                <w:sz w:val="20"/>
                <w:szCs w:val="20"/>
              </w:rPr>
              <w:t xml:space="preserve">Outbound email queue with delivery status and retry</w:t>
            </w:r>
          </w:p>
        </w:tc>
      </w:tr>
    </w:tbl>
    <w:p>
      <w:r>
        <w:br w:type="page"/>
      </w:r>
    </w:p>
    <w:p>
      <w:pPr>
        <w:pStyle w:val="Heading1"/>
        <w:spacing w:after="150" w:before="300"/>
      </w:pPr>
      <w:r>
        <w:t xml:space="preserve">4. Gaps Identified and Resolved</w:t>
      </w:r>
    </w:p>
    <w:p>
      <w:pPr>
        <w:spacing w:after="120"/>
      </w:pPr>
      <w:r>
        <w:t xml:space="preserve">These gaps were identified during design review and are addressed directly in the Phase 1 schema and API, avoiding a rework later.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c>
          <w:tcPr>
            <w:tcW w:type="dxa" w:w="2200"/>
            <w:shd w:fill="307FE2" w:val="clear"/>
          </w:tcPr>
          <w:p>
            <w:r>
              <w:rPr>
                <w:b/>
                <w:bCs/>
                <w:color w:val="FFFFFF"/>
                <w:sz w:val="20"/>
                <w:szCs w:val="20"/>
              </w:rPr>
              <w:t xml:space="preserve">Gap</w:t>
            </w:r>
          </w:p>
        </w:tc>
        <w:tc>
          <w:tcPr>
            <w:tcW w:type="dxa" w:w="3600"/>
            <w:shd w:fill="307FE2" w:val="clear"/>
          </w:tcPr>
          <w:p>
            <w:r>
              <w:rPr>
                <w:b/>
                <w:bCs/>
                <w:color w:val="FFFFFF"/>
                <w:sz w:val="20"/>
                <w:szCs w:val="20"/>
              </w:rPr>
              <w:t xml:space="preserve">Why it matters</w:t>
            </w:r>
          </w:p>
        </w:tc>
        <w:tc>
          <w:tcPr>
            <w:tcW w:type="dxa" w:w="3700"/>
            <w:shd w:fill="307FE2" w:val="clear"/>
          </w:tcPr>
          <w:p>
            <w:r>
              <w:rPr>
                <w:b/>
                <w:bCs/>
                <w:color w:val="FFFFFF"/>
                <w:sz w:val="20"/>
                <w:szCs w:val="20"/>
              </w:rPr>
              <w:t xml:space="preserve">Phase 1 resolution</w:t>
            </w:r>
          </w:p>
        </w:tc>
      </w:tr>
      <w:tr>
        <w:tc>
          <w:tcPr>
            <w:tcW w:type="dxa" w:w="2200"/>
          </w:tcPr>
          <w:p>
            <w:r>
              <w:rPr>
                <w:b w:val="false"/>
                <w:bCs w:val="false"/>
                <w:sz w:val="20"/>
                <w:szCs w:val="20"/>
              </w:rPr>
              <w:t xml:space="preserve">Template immutability</w:t>
            </w:r>
          </w:p>
        </w:tc>
        <w:tc>
          <w:tcPr>
            <w:tcW w:type="dxa" w:w="3600"/>
          </w:tcPr>
          <w:p>
            <w:r>
              <w:rPr>
                <w:b w:val="false"/>
                <w:bCs w:val="false"/>
                <w:sz w:val="20"/>
                <w:szCs w:val="20"/>
              </w:rPr>
              <w:t xml:space="preserve">Editing a master template mid-flow shouldn't affect running instances</w:t>
            </w:r>
          </w:p>
        </w:tc>
        <w:tc>
          <w:tcPr>
            <w:tcW w:type="dxa" w:w="3700"/>
          </w:tcPr>
          <w:p>
            <w:r>
              <w:rPr>
                <w:b w:val="false"/>
                <w:bCs w:val="false"/>
                <w:sz w:val="20"/>
                <w:szCs w:val="20"/>
              </w:rPr>
              <w:t xml:space="preserve">Templates versioned; each instance snapshots the version it started from</w:t>
            </w:r>
          </w:p>
        </w:tc>
      </w:tr>
      <w:tr>
        <w:tc>
          <w:tcPr>
            <w:tcW w:type="dxa" w:w="2200"/>
            <w:shd w:fill="F2F2F2" w:val="clear"/>
          </w:tcPr>
          <w:p>
            <w:r>
              <w:rPr>
                <w:b w:val="false"/>
                <w:bCs w:val="false"/>
                <w:sz w:val="20"/>
                <w:szCs w:val="20"/>
              </w:rPr>
              <w:t xml:space="preserve">Send-back target</w:t>
            </w:r>
          </w:p>
        </w:tc>
        <w:tc>
          <w:tcPr>
            <w:tcW w:type="dxa" w:w="3600"/>
            <w:shd w:fill="F2F2F2" w:val="clear"/>
          </w:tcPr>
          <w:p>
            <w:r>
              <w:rPr>
                <w:b w:val="false"/>
                <w:bCs w:val="false"/>
                <w:sz w:val="20"/>
                <w:szCs w:val="20"/>
              </w:rPr>
              <w:t xml:space="preserve">One-back-only vs. jumping to any earlier stage</w:t>
            </w:r>
          </w:p>
        </w:tc>
        <w:tc>
          <w:tcPr>
            <w:tcW w:type="dxa" w:w="3700"/>
            <w:shd w:fill="F2F2F2" w:val="clear"/>
          </w:tcPr>
          <w:p>
            <w:r>
              <w:rPr>
                <w:b w:val="false"/>
                <w:bCs w:val="false"/>
                <w:sz w:val="20"/>
                <w:szCs w:val="20"/>
              </w:rPr>
              <w:t xml:space="preserve">Default one-back-only; target_stage_order stored explicitly for Phase 2</w:t>
            </w:r>
          </w:p>
        </w:tc>
      </w:tr>
      <w:tr>
        <w:tc>
          <w:tcPr>
            <w:tcW w:type="dxa" w:w="2200"/>
          </w:tcPr>
          <w:p>
            <w:r>
              <w:rPr>
                <w:b w:val="false"/>
                <w:bCs w:val="false"/>
                <w:sz w:val="20"/>
                <w:szCs w:val="20"/>
              </w:rPr>
              <w:t xml:space="preserve">Stuck / absent assignee</w:t>
            </w:r>
          </w:p>
        </w:tc>
        <w:tc>
          <w:tcPr>
            <w:tcW w:type="dxa" w:w="3600"/>
          </w:tcPr>
          <w:p>
            <w:r>
              <w:rPr>
                <w:b w:val="false"/>
                <w:bCs w:val="false"/>
                <w:sz w:val="20"/>
                <w:szCs w:val="20"/>
              </w:rPr>
              <w:t xml:space="preserve">A single named person can freeze the whole workflow</w:t>
            </w:r>
          </w:p>
        </w:tc>
        <w:tc>
          <w:tcPr>
            <w:tcW w:type="dxa" w:w="3700"/>
          </w:tcPr>
          <w:p>
            <w:r>
              <w:rPr>
                <w:b w:val="false"/>
                <w:bCs w:val="false"/>
                <w:sz w:val="20"/>
                <w:szCs w:val="20"/>
              </w:rPr>
              <w:t xml:space="preserve">Admin reassignment action, logged as its own audit event</w:t>
            </w:r>
          </w:p>
        </w:tc>
      </w:tr>
      <w:tr>
        <w:tc>
          <w:tcPr>
            <w:tcW w:type="dxa" w:w="2200"/>
            <w:shd w:fill="F2F2F2" w:val="clear"/>
          </w:tcPr>
          <w:p>
            <w:r>
              <w:rPr>
                <w:b w:val="false"/>
                <w:bCs w:val="false"/>
                <w:sz w:val="20"/>
                <w:szCs w:val="20"/>
              </w:rPr>
              <w:t xml:space="preserve">Resubmission after hard reject</w:t>
            </w:r>
          </w:p>
        </w:tc>
        <w:tc>
          <w:tcPr>
            <w:tcW w:type="dxa" w:w="3600"/>
            <w:shd w:fill="F2F2F2" w:val="clear"/>
          </w:tcPr>
          <w:p>
            <w:r>
              <w:rPr>
                <w:b w:val="false"/>
                <w:bCs w:val="false"/>
                <w:sz w:val="20"/>
                <w:szCs w:val="20"/>
              </w:rPr>
              <w:t xml:space="preserve">Reject currently has no path back in</w:t>
            </w:r>
          </w:p>
        </w:tc>
        <w:tc>
          <w:tcPr>
            <w:tcW w:type="dxa" w:w="3700"/>
            <w:shd w:fill="F2F2F2" w:val="clear"/>
          </w:tcPr>
          <w:p>
            <w:r>
              <w:rPr>
                <w:b w:val="false"/>
                <w:bCs w:val="false"/>
                <w:sz w:val="20"/>
                <w:szCs w:val="20"/>
              </w:rPr>
              <w:t xml:space="preserve">Clone rejected instance into a fresh one from its last saved version</w:t>
            </w:r>
          </w:p>
        </w:tc>
      </w:tr>
      <w:tr>
        <w:tc>
          <w:tcPr>
            <w:tcW w:type="dxa" w:w="2200"/>
          </w:tcPr>
          <w:p>
            <w:r>
              <w:rPr>
                <w:b w:val="false"/>
                <w:bCs w:val="false"/>
                <w:sz w:val="20"/>
                <w:szCs w:val="20"/>
              </w:rPr>
              <w:t xml:space="preserve">Upload validation</w:t>
            </w:r>
          </w:p>
        </w:tc>
        <w:tc>
          <w:tcPr>
            <w:tcW w:type="dxa" w:w="3600"/>
          </w:tcPr>
          <w:p>
            <w:r>
              <w:rPr>
                <w:b w:val="false"/>
                <w:bCs w:val="false"/>
                <w:sz w:val="20"/>
                <w:szCs w:val="20"/>
              </w:rPr>
              <w:t xml:space="preserve">Wrong file types or malicious uploads</w:t>
            </w:r>
          </w:p>
        </w:tc>
        <w:tc>
          <w:tcPr>
            <w:tcW w:type="dxa" w:w="3700"/>
          </w:tcPr>
          <w:p>
            <w:r>
              <w:rPr>
                <w:b w:val="false"/>
                <w:bCs w:val="false"/>
                <w:sz w:val="20"/>
                <w:szCs w:val="20"/>
              </w:rPr>
              <w:t xml:space="preserve">Extension allow-list, size cap, and file-signature check server-side</w:t>
            </w:r>
          </w:p>
        </w:tc>
      </w:tr>
      <w:tr>
        <w:tc>
          <w:tcPr>
            <w:tcW w:type="dxa" w:w="2200"/>
            <w:shd w:fill="F2F2F2" w:val="clear"/>
          </w:tcPr>
          <w:p>
            <w:r>
              <w:rPr>
                <w:b w:val="false"/>
                <w:bCs w:val="false"/>
                <w:sz w:val="20"/>
                <w:szCs w:val="20"/>
              </w:rPr>
              <w:t xml:space="preserve">Notification delivery reliability</w:t>
            </w:r>
          </w:p>
        </w:tc>
        <w:tc>
          <w:tcPr>
            <w:tcW w:type="dxa" w:w="3600"/>
            <w:shd w:fill="F2F2F2" w:val="clear"/>
          </w:tcPr>
          <w:p>
            <w:r>
              <w:rPr>
                <w:b w:val="false"/>
                <w:bCs w:val="false"/>
                <w:sz w:val="20"/>
                <w:szCs w:val="20"/>
              </w:rPr>
              <w:t xml:space="preserve">SMTP hiccups can silently drop assignment emails</w:t>
            </w:r>
          </w:p>
        </w:tc>
        <w:tc>
          <w:tcPr>
            <w:tcW w:type="dxa" w:w="3700"/>
            <w:shd w:fill="F2F2F2" w:val="clear"/>
          </w:tcPr>
          <w:p>
            <w:r>
              <w:rPr>
                <w:b w:val="false"/>
                <w:bCs w:val="false"/>
                <w:sz w:val="20"/>
                <w:szCs w:val="20"/>
              </w:rPr>
              <w:t xml:space="preserve">Notifications queued in their own table with status + retry, not sent inline</w:t>
            </w:r>
          </w:p>
        </w:tc>
      </w:tr>
      <w:tr>
        <w:tc>
          <w:tcPr>
            <w:tcW w:type="dxa" w:w="2200"/>
          </w:tcPr>
          <w:p>
            <w:r>
              <w:rPr>
                <w:b w:val="false"/>
                <w:bCs w:val="false"/>
                <w:sz w:val="20"/>
                <w:szCs w:val="20"/>
              </w:rPr>
              <w:t xml:space="preserve">"My tasks" visibility</w:t>
            </w:r>
          </w:p>
        </w:tc>
        <w:tc>
          <w:tcPr>
            <w:tcW w:type="dxa" w:w="3600"/>
          </w:tcPr>
          <w:p>
            <w:r>
              <w:rPr>
                <w:b w:val="false"/>
                <w:bCs w:val="false"/>
                <w:sz w:val="20"/>
                <w:szCs w:val="20"/>
              </w:rPr>
              <w:t xml:space="preserve">Nobody can find what's waiting on them otherwise</w:t>
            </w:r>
          </w:p>
        </w:tc>
        <w:tc>
          <w:tcPr>
            <w:tcW w:type="dxa" w:w="3700"/>
          </w:tcPr>
          <w:p>
            <w:r>
              <w:rPr>
                <w:b w:val="false"/>
                <w:bCs w:val="false"/>
                <w:sz w:val="20"/>
                <w:szCs w:val="20"/>
              </w:rPr>
              <w:t xml:space="preserve">Dashboard: assigned to me / waiting on others / completed</w:t>
            </w:r>
          </w:p>
        </w:tc>
      </w:tr>
      <w:tr>
        <w:tc>
          <w:tcPr>
            <w:tcW w:type="dxa" w:w="2200"/>
            <w:shd w:fill="F2F2F2" w:val="clear"/>
          </w:tcPr>
          <w:p>
            <w:r>
              <w:rPr>
                <w:b w:val="false"/>
                <w:bCs w:val="false"/>
                <w:sz w:val="20"/>
                <w:szCs w:val="20"/>
              </w:rPr>
              <w:t xml:space="preserve">Auth &amp; tenant isolation</w:t>
            </w:r>
          </w:p>
        </w:tc>
        <w:tc>
          <w:tcPr>
            <w:tcW w:type="dxa" w:w="3600"/>
            <w:shd w:fill="F2F2F2" w:val="clear"/>
          </w:tcPr>
          <w:p>
            <w:r>
              <w:rPr>
                <w:b w:val="false"/>
                <w:bCs w:val="false"/>
                <w:sz w:val="20"/>
                <w:szCs w:val="20"/>
              </w:rPr>
              <w:t xml:space="preserve">Not addressed until now</w:t>
            </w:r>
          </w:p>
        </w:tc>
        <w:tc>
          <w:tcPr>
            <w:tcW w:type="dxa" w:w="3700"/>
            <w:shd w:fill="F2F2F2" w:val="clear"/>
          </w:tcPr>
          <w:p>
            <w:r>
              <w:rPr>
                <w:b w:val="false"/>
                <w:bCs w:val="false"/>
                <w:sz w:val="20"/>
                <w:szCs w:val="20"/>
              </w:rPr>
              <w:t xml:space="preserve">JWT-based auth; every query scoped by tenant_id from the token, never the request body</w:t>
            </w:r>
          </w:p>
        </w:tc>
      </w:tr>
      <w:tr>
        <w:tc>
          <w:tcPr>
            <w:tcW w:type="dxa" w:w="2200"/>
          </w:tcPr>
          <w:p>
            <w:r>
              <w:rPr>
                <w:b w:val="false"/>
                <w:bCs w:val="false"/>
                <w:sz w:val="20"/>
                <w:szCs w:val="20"/>
              </w:rPr>
              <w:t xml:space="preserve">Storage growth</w:t>
            </w:r>
          </w:p>
        </w:tc>
        <w:tc>
          <w:tcPr>
            <w:tcW w:type="dxa" w:w="3600"/>
          </w:tcPr>
          <w:p>
            <w:r>
              <w:rPr>
                <w:b w:val="false"/>
                <w:bCs w:val="false"/>
                <w:sz w:val="20"/>
                <w:szCs w:val="20"/>
              </w:rPr>
              <w:t xml:space="preserve">Every save keeps a version forever</w:t>
            </w:r>
          </w:p>
        </w:tc>
        <w:tc>
          <w:tcPr>
            <w:tcW w:type="dxa" w:w="3700"/>
          </w:tcPr>
          <w:p>
            <w:r>
              <w:rPr>
                <w:b w:val="false"/>
                <w:bCs w:val="false"/>
                <w:sz w:val="20"/>
                <w:szCs w:val="20"/>
              </w:rPr>
              <w:t xml:space="preserve">Fine at Phase 1 volume; flag a retention/archival policy for later</w:t>
            </w:r>
          </w:p>
        </w:tc>
      </w:tr>
    </w:tbl>
    <w:p>
      <w:pPr>
        <w:pStyle w:val="Heading1"/>
        <w:spacing w:after="150" w:before="300"/>
      </w:pPr>
      <w:r>
        <w:t xml:space="preserve">5. Key Design Decisions</w:t>
      </w:r>
    </w:p>
    <w:p>
      <w:pPr>
        <w:spacing w:after="80" w:before="180"/>
      </w:pPr>
      <w:r>
        <w:rPr>
          <w:b/>
          <w:bCs/>
          <w:color w:val="444444"/>
          <w:sz w:val="22"/>
          <w:szCs w:val="22"/>
        </w:rPr>
        <w:t xml:space="preserve">5.1 Document editing</w:t>
      </w:r>
    </w:p>
    <w:p>
      <w:pPr>
        <w:spacing w:after="120"/>
      </w:pPr>
      <w:r>
        <w:t xml:space="preserve">Phase 1 uses download / edit in Word / re-upload rather than an in-browser editor. This is faster to ship and avoids operating a document server. Every re-upload is stored as a new version, never overwriting the previous one, preserving full history.</w:t>
      </w:r>
    </w:p>
    <w:p>
      <w:pPr>
        <w:spacing w:after="80" w:before="180"/>
      </w:pPr>
      <w:r>
        <w:rPr>
          <w:b/>
          <w:bCs/>
          <w:color w:val="444444"/>
          <w:sz w:val="22"/>
          <w:szCs w:val="22"/>
        </w:rPr>
        <w:t xml:space="preserve">5.2 Assignment flexibility</w:t>
      </w:r>
    </w:p>
    <w:p>
      <w:pPr>
        <w:spacing w:after="120"/>
      </w:pPr>
      <w:r>
        <w:t xml:space="preserve">A stage can be assigned to either a specific named user or a role. Role-based stages require the acting user to "claim" the instance before editing, preventing two role-holders from acting on the same document at once.</w:t>
      </w:r>
    </w:p>
    <w:p>
      <w:pPr>
        <w:spacing w:after="80" w:before="180"/>
      </w:pPr>
      <w:r>
        <w:rPr>
          <w:b/>
          <w:bCs/>
          <w:color w:val="444444"/>
          <w:sz w:val="22"/>
          <w:szCs w:val="22"/>
        </w:rPr>
        <w:t xml:space="preserve">5.3 Multi-tenancy</w:t>
      </w:r>
    </w:p>
    <w:p>
      <w:pPr>
        <w:spacing w:after="120"/>
      </w:pPr>
      <w:r>
        <w:t xml:space="preserve">A shared schema with tenant_id scoping is used rather than schema-per-tenant, keeping operations simple at expected scale. Every API request is scoped by the tenant_id embedded in the signed JWT, never a tenant_id supplied by the client.</w:t>
      </w:r>
    </w:p>
    <w:p>
      <w:pPr>
        <w:spacing w:after="80" w:before="180"/>
      </w:pPr>
      <w:r>
        <w:rPr>
          <w:b/>
          <w:bCs/>
          <w:color w:val="444444"/>
          <w:sz w:val="22"/>
          <w:szCs w:val="22"/>
        </w:rPr>
        <w:t xml:space="preserve">5.4 Notifications</w:t>
      </w:r>
    </w:p>
    <w:p>
      <w:pPr>
        <w:spacing w:after="120"/>
      </w:pPr>
      <w:r>
        <w:t xml:space="preserve">Emails are never sent inline during a request. Each event enqueues a row in a notifications table; a background worker sends and retries, so an SMTP hiccup never silently drops an assignment notice.</w:t>
      </w:r>
    </w:p>
    <w:p>
      <w:r>
        <w:br w:type="page"/>
      </w:r>
    </w:p>
    <w:p>
      <w:pPr>
        <w:pStyle w:val="Heading1"/>
        <w:spacing w:after="150" w:before="300"/>
      </w:pPr>
      <w:r>
        <w:t xml:space="preserve">6. Security Principles Applied</w:t>
      </w:r>
    </w:p>
    <w:p>
      <w:pPr>
        <w:spacing w:after="120"/>
      </w:pPr>
      <w:r>
        <w:t xml:space="preserve">Security is treated as a Phase 1 requirement, not a later hardening pass. The table below maps each risk area to the concrete implementation in this codebase.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300"/>
      </w:tblGrid>
      <w:tr>
        <w:tc>
          <w:tcPr>
            <w:tcW w:type="dxa" w:w="2200"/>
            <w:shd w:fill="307FE2" w:val="clear"/>
          </w:tcPr>
          <w:p>
            <w:r>
              <w:rPr>
                <w:b/>
                <w:bCs/>
                <w:color w:val="FFFFFF"/>
                <w:sz w:val="20"/>
                <w:szCs w:val="20"/>
              </w:rPr>
              <w:t xml:space="preserve">Risk area</w:t>
            </w:r>
          </w:p>
        </w:tc>
        <w:tc>
          <w:tcPr>
            <w:tcW w:type="dxa" w:w="3000"/>
            <w:shd w:fill="307FE2" w:val="clear"/>
          </w:tcPr>
          <w:p>
            <w:r>
              <w:rPr>
                <w:b/>
                <w:bCs/>
                <w:color w:val="FFFFFF"/>
                <w:sz w:val="20"/>
                <w:szCs w:val="20"/>
              </w:rPr>
              <w:t xml:space="preserve">Principle applied</w:t>
            </w:r>
          </w:p>
        </w:tc>
        <w:tc>
          <w:tcPr>
            <w:tcW w:type="dxa" w:w="4300"/>
            <w:shd w:fill="307FE2" w:val="clear"/>
          </w:tcPr>
          <w:p>
            <w:r>
              <w:rPr>
                <w:b/>
                <w:bCs/>
                <w:color w:val="FFFFFF"/>
                <w:sz w:val="20"/>
                <w:szCs w:val="20"/>
              </w:rPr>
              <w:t xml:space="preserve">Concrete implementation</w:t>
            </w:r>
          </w:p>
        </w:tc>
      </w:tr>
      <w:tr>
        <w:tc>
          <w:tcPr>
            <w:tcW w:type="dxa" w:w="2200"/>
          </w:tcPr>
          <w:p>
            <w:r>
              <w:rPr>
                <w:b w:val="false"/>
                <w:bCs w:val="false"/>
                <w:sz w:val="20"/>
                <w:szCs w:val="20"/>
              </w:rPr>
              <w:t xml:space="preserve">Secrets management</w:t>
            </w:r>
          </w:p>
        </w:tc>
        <w:tc>
          <w:tcPr>
            <w:tcW w:type="dxa" w:w="3000"/>
          </w:tcPr>
          <w:p>
            <w:r>
              <w:rPr>
                <w:b w:val="false"/>
                <w:bCs w:val="false"/>
                <w:sz w:val="20"/>
                <w:szCs w:val="20"/>
              </w:rPr>
              <w:t xml:space="preserve">Never hardcode credentials or keys in source</w:t>
            </w:r>
          </w:p>
        </w:tc>
        <w:tc>
          <w:tcPr>
            <w:tcW w:type="dxa" w:w="4300"/>
          </w:tcPr>
          <w:p>
            <w:r>
              <w:rPr>
                <w:b w:val="false"/>
                <w:bCs w:val="false"/>
                <w:sz w:val="20"/>
                <w:szCs w:val="20"/>
              </w:rPr>
              <w:t xml:space="preserve">JWT_SECRET, DB, and SMTP credentials read only from environment variables; app refuses to start if JWT_SECRET is missing or under 32 characters; .env is git-ignored, only .env.example (placeholders) is committed</w:t>
            </w:r>
          </w:p>
        </w:tc>
      </w:tr>
      <w:tr>
        <w:tc>
          <w:tcPr>
            <w:tcW w:type="dxa" w:w="2200"/>
            <w:shd w:fill="F2F2F2" w:val="clear"/>
          </w:tcPr>
          <w:p>
            <w:r>
              <w:rPr>
                <w:b w:val="false"/>
                <w:bCs w:val="false"/>
                <w:sz w:val="20"/>
                <w:szCs w:val="20"/>
              </w:rPr>
              <w:t xml:space="preserve">Authentication</w:t>
            </w:r>
          </w:p>
        </w:tc>
        <w:tc>
          <w:tcPr>
            <w:tcW w:type="dxa" w:w="3000"/>
            <w:shd w:fill="F2F2F2" w:val="clear"/>
          </w:tcPr>
          <w:p>
            <w:r>
              <w:rPr>
                <w:b w:val="false"/>
                <w:bCs w:val="false"/>
                <w:sz w:val="20"/>
                <w:szCs w:val="20"/>
              </w:rPr>
              <w:t xml:space="preserve">Use a well-vetted, standard token scheme; pin the algorithm</w:t>
            </w:r>
          </w:p>
        </w:tc>
        <w:tc>
          <w:tcPr>
            <w:tcW w:type="dxa" w:w="4300"/>
            <w:shd w:fill="F2F2F2" w:val="clear"/>
          </w:tcPr>
          <w:p>
            <w:r>
              <w:rPr>
                <w:b w:val="false"/>
                <w:bCs w:val="false"/>
                <w:sz w:val="20"/>
                <w:szCs w:val="20"/>
              </w:rPr>
              <w:t xml:space="preserve">JWT (HS256 pinned explicitly at verification time) with short-lived access tokens; tenant_id/user_id/is_admin are read only from the verified token payload, never from client-supplied fields</w:t>
            </w:r>
          </w:p>
        </w:tc>
      </w:tr>
      <w:tr>
        <w:tc>
          <w:tcPr>
            <w:tcW w:type="dxa" w:w="2200"/>
          </w:tcPr>
          <w:p>
            <w:r>
              <w:rPr>
                <w:b w:val="false"/>
                <w:bCs w:val="false"/>
                <w:sz w:val="20"/>
                <w:szCs w:val="20"/>
              </w:rPr>
              <w:t xml:space="preserve">Authorization</w:t>
            </w:r>
          </w:p>
        </w:tc>
        <w:tc>
          <w:tcPr>
            <w:tcW w:type="dxa" w:w="3000"/>
          </w:tcPr>
          <w:p>
            <w:r>
              <w:rPr>
                <w:b w:val="false"/>
                <w:bCs w:val="false"/>
                <w:sz w:val="20"/>
                <w:szCs w:val="20"/>
              </w:rPr>
              <w:t xml:space="preserve">Enforce least privilege at every layer</w:t>
            </w:r>
          </w:p>
        </w:tc>
        <w:tc>
          <w:tcPr>
            <w:tcW w:type="dxa" w:w="4300"/>
          </w:tcPr>
          <w:p>
            <w:r>
              <w:rPr>
                <w:b w:val="false"/>
                <w:bCs w:val="false"/>
                <w:sz w:val="20"/>
                <w:szCs w:val="20"/>
              </w:rPr>
              <w:t xml:space="preserve">Every route checks the actor's role/claim before acting (requireAdmin, canAct() in the workflow engine); a stage action fails unless the caller is the named assignee or a role-holder who has claimed the instance</w:t>
            </w:r>
          </w:p>
        </w:tc>
      </w:tr>
      <w:tr>
        <w:tc>
          <w:tcPr>
            <w:tcW w:type="dxa" w:w="2200"/>
            <w:shd w:fill="F2F2F2" w:val="clear"/>
          </w:tcPr>
          <w:p>
            <w:r>
              <w:rPr>
                <w:b w:val="false"/>
                <w:bCs w:val="false"/>
                <w:sz w:val="20"/>
                <w:szCs w:val="20"/>
              </w:rPr>
              <w:t xml:space="preserve">SQL injection</w:t>
            </w:r>
          </w:p>
        </w:tc>
        <w:tc>
          <w:tcPr>
            <w:tcW w:type="dxa" w:w="3000"/>
            <w:shd w:fill="F2F2F2" w:val="clear"/>
          </w:tcPr>
          <w:p>
            <w:r>
              <w:rPr>
                <w:b w:val="false"/>
                <w:bCs w:val="false"/>
                <w:sz w:val="20"/>
                <w:szCs w:val="20"/>
              </w:rPr>
              <w:t xml:space="preserve">Never build queries by string concatenation</w:t>
            </w:r>
          </w:p>
        </w:tc>
        <w:tc>
          <w:tcPr>
            <w:tcW w:type="dxa" w:w="4300"/>
            <w:shd w:fill="F2F2F2" w:val="clear"/>
          </w:tcPr>
          <w:p>
            <w:r>
              <w:rPr>
                <w:b w:val="false"/>
                <w:bCs w:val="false"/>
                <w:sz w:val="20"/>
                <w:szCs w:val="20"/>
              </w:rPr>
              <w:t xml:space="preserve">All database access goes through the Knex query builder, which parameterizes every value; no raw SQL string interpolation anywhere in the codebase; UUID-shaped inputs are additionally format-validated before use as a defense-in-depth layer</w:t>
            </w:r>
          </w:p>
        </w:tc>
      </w:tr>
      <w:tr>
        <w:tc>
          <w:tcPr>
            <w:tcW w:type="dxa" w:w="2200"/>
          </w:tcPr>
          <w:p>
            <w:r>
              <w:rPr>
                <w:b w:val="false"/>
                <w:bCs w:val="false"/>
                <w:sz w:val="20"/>
                <w:szCs w:val="20"/>
              </w:rPr>
              <w:t xml:space="preserve">Multi-tenant data isolation</w:t>
            </w:r>
          </w:p>
        </w:tc>
        <w:tc>
          <w:tcPr>
            <w:tcW w:type="dxa" w:w="3000"/>
          </w:tcPr>
          <w:p>
            <w:r>
              <w:rPr>
                <w:b w:val="false"/>
                <w:bCs w:val="false"/>
                <w:sz w:val="20"/>
                <w:szCs w:val="20"/>
              </w:rPr>
              <w:t xml:space="preserve">A request must never be able to read or write another tenant's data</w:t>
            </w:r>
          </w:p>
        </w:tc>
        <w:tc>
          <w:tcPr>
            <w:tcW w:type="dxa" w:w="4300"/>
          </w:tcPr>
          <w:p>
            <w:r>
              <w:rPr>
                <w:b w:val="false"/>
                <w:bCs w:val="false"/>
                <w:sz w:val="20"/>
                <w:szCs w:val="20"/>
              </w:rPr>
              <w:t xml:space="preserve">Every query includes tenant_id sourced from the JWT; the schema itself has no path for a query to omit that scope by mistake in the route handlers used here</w:t>
            </w:r>
          </w:p>
        </w:tc>
      </w:tr>
      <w:tr>
        <w:tc>
          <w:tcPr>
            <w:tcW w:type="dxa" w:w="2200"/>
            <w:shd w:fill="F2F2F2" w:val="clear"/>
          </w:tcPr>
          <w:p>
            <w:r>
              <w:rPr>
                <w:b w:val="false"/>
                <w:bCs w:val="false"/>
                <w:sz w:val="20"/>
                <w:szCs w:val="20"/>
              </w:rPr>
              <w:t xml:space="preserve">Input validation</w:t>
            </w:r>
          </w:p>
        </w:tc>
        <w:tc>
          <w:tcPr>
            <w:tcW w:type="dxa" w:w="3000"/>
            <w:shd w:fill="F2F2F2" w:val="clear"/>
          </w:tcPr>
          <w:p>
            <w:r>
              <w:rPr>
                <w:b w:val="false"/>
                <w:bCs w:val="false"/>
                <w:sz w:val="20"/>
                <w:szCs w:val="20"/>
              </w:rPr>
              <w:t xml:space="preserve">Reject malformed input before it reaches business logic</w:t>
            </w:r>
          </w:p>
        </w:tc>
        <w:tc>
          <w:tcPr>
            <w:tcW w:type="dxa" w:w="4300"/>
            <w:shd w:fill="F2F2F2" w:val="clear"/>
          </w:tcPr>
          <w:p>
            <w:r>
              <w:rPr>
                <w:b w:val="false"/>
                <w:bCs w:val="false"/>
                <w:sz w:val="20"/>
                <w:szCs w:val="20"/>
              </w:rPr>
              <w:t xml:space="preserve">Required-field and UUID-format checks on all POST bodies; multer enforces file extension allow-list and size cap on uploads</w:t>
            </w:r>
          </w:p>
        </w:tc>
      </w:tr>
      <w:tr>
        <w:tc>
          <w:tcPr>
            <w:tcW w:type="dxa" w:w="2200"/>
          </w:tcPr>
          <w:p>
            <w:r>
              <w:rPr>
                <w:b w:val="false"/>
                <w:bCs w:val="false"/>
                <w:sz w:val="20"/>
                <w:szCs w:val="20"/>
              </w:rPr>
              <w:t xml:space="preserve">Transport &amp; headers</w:t>
            </w:r>
          </w:p>
        </w:tc>
        <w:tc>
          <w:tcPr>
            <w:tcW w:type="dxa" w:w="3000"/>
          </w:tcPr>
          <w:p>
            <w:r>
              <w:rPr>
                <w:b w:val="false"/>
                <w:bCs w:val="false"/>
                <w:sz w:val="20"/>
                <w:szCs w:val="20"/>
              </w:rPr>
              <w:t xml:space="preserve">Apply standard hardening defaults</w:t>
            </w:r>
          </w:p>
        </w:tc>
        <w:tc>
          <w:tcPr>
            <w:tcW w:type="dxa" w:w="4300"/>
          </w:tcPr>
          <w:p>
            <w:r>
              <w:rPr>
                <w:b w:val="false"/>
                <w:bCs w:val="false"/>
                <w:sz w:val="20"/>
                <w:szCs w:val="20"/>
              </w:rPr>
              <w:t xml:space="preserve">helmet() sets standard security headers; CORS is origin-allowlisted (never '*'); production Postgres connections require TLS by default</w:t>
            </w:r>
          </w:p>
        </w:tc>
      </w:tr>
      <w:tr>
        <w:tc>
          <w:tcPr>
            <w:tcW w:type="dxa" w:w="2200"/>
            <w:shd w:fill="F2F2F2" w:val="clear"/>
          </w:tcPr>
          <w:p>
            <w:r>
              <w:rPr>
                <w:b w:val="false"/>
                <w:bCs w:val="false"/>
                <w:sz w:val="20"/>
                <w:szCs w:val="20"/>
              </w:rPr>
              <w:t xml:space="preserve">Rate limiting</w:t>
            </w:r>
          </w:p>
        </w:tc>
        <w:tc>
          <w:tcPr>
            <w:tcW w:type="dxa" w:w="3000"/>
            <w:shd w:fill="F2F2F2" w:val="clear"/>
          </w:tcPr>
          <w:p>
            <w:r>
              <w:rPr>
                <w:b w:val="false"/>
                <w:bCs w:val="false"/>
                <w:sz w:val="20"/>
                <w:szCs w:val="20"/>
              </w:rPr>
              <w:t xml:space="preserve">Throttle to blunt brute-force and abuse</w:t>
            </w:r>
          </w:p>
        </w:tc>
        <w:tc>
          <w:tcPr>
            <w:tcW w:type="dxa" w:w="4300"/>
            <w:shd w:fill="F2F2F2" w:val="clear"/>
          </w:tcPr>
          <w:p>
            <w:r>
              <w:rPr>
                <w:b w:val="false"/>
                <w:bCs w:val="false"/>
                <w:sz w:val="20"/>
                <w:szCs w:val="20"/>
              </w:rPr>
              <w:t xml:space="preserve">Baseline rate limiter on all routes; a stricter dedicated limiter is planned for /auth/login once it exists</w:t>
            </w:r>
          </w:p>
        </w:tc>
      </w:tr>
      <w:tr>
        <w:tc>
          <w:tcPr>
            <w:tcW w:type="dxa" w:w="2200"/>
          </w:tcPr>
          <w:p>
            <w:r>
              <w:rPr>
                <w:b w:val="false"/>
                <w:bCs w:val="false"/>
                <w:sz w:val="20"/>
                <w:szCs w:val="20"/>
              </w:rPr>
              <w:t xml:space="preserve">Error handling</w:t>
            </w:r>
          </w:p>
        </w:tc>
        <w:tc>
          <w:tcPr>
            <w:tcW w:type="dxa" w:w="3000"/>
          </w:tcPr>
          <w:p>
            <w:r>
              <w:rPr>
                <w:b w:val="false"/>
                <w:bCs w:val="false"/>
                <w:sz w:val="20"/>
                <w:szCs w:val="20"/>
              </w:rPr>
              <w:t xml:space="preserve">Never leak internals to the client</w:t>
            </w:r>
          </w:p>
        </w:tc>
        <w:tc>
          <w:tcPr>
            <w:tcW w:type="dxa" w:w="4300"/>
          </w:tcPr>
          <w:p>
            <w:r>
              <w:rPr>
                <w:b w:val="false"/>
                <w:bCs w:val="false"/>
                <w:sz w:val="20"/>
                <w:szCs w:val="20"/>
              </w:rPr>
              <w:t xml:space="preserve">Central error handler logs full detail server-side but returns only a generic message to the client — no stack traces or DB error text in responses</w:t>
            </w:r>
          </w:p>
        </w:tc>
      </w:tr>
      <w:tr>
        <w:tc>
          <w:tcPr>
            <w:tcW w:type="dxa" w:w="2200"/>
            <w:shd w:fill="F2F2F2" w:val="clear"/>
          </w:tcPr>
          <w:p>
            <w:r>
              <w:rPr>
                <w:b w:val="false"/>
                <w:bCs w:val="false"/>
                <w:sz w:val="20"/>
                <w:szCs w:val="20"/>
              </w:rPr>
              <w:t xml:space="preserve">Query performance / indexing</w:t>
            </w:r>
          </w:p>
        </w:tc>
        <w:tc>
          <w:tcPr>
            <w:tcW w:type="dxa" w:w="3000"/>
            <w:shd w:fill="F2F2F2" w:val="clear"/>
          </w:tcPr>
          <w:p>
            <w:r>
              <w:rPr>
                <w:b w:val="false"/>
                <w:bCs w:val="false"/>
                <w:sz w:val="20"/>
                <w:szCs w:val="20"/>
              </w:rPr>
              <w:t xml:space="preserve">Indexes should match real query patterns, not be guessed</w:t>
            </w:r>
          </w:p>
        </w:tc>
        <w:tc>
          <w:tcPr>
            <w:tcW w:type="dxa" w:w="4300"/>
            <w:shd w:fill="F2F2F2" w:val="clear"/>
          </w:tcPr>
          <w:p>
            <w:r>
              <w:rPr>
                <w:b w:val="false"/>
                <w:bCs w:val="false"/>
                <w:sz w:val="20"/>
                <w:szCs w:val="20"/>
              </w:rPr>
              <w:t xml:space="preserve">Dedicated migration indexes every foreign key and the tenant_id/status/stage_order columns actually filtered on in the route and service code</w:t>
            </w:r>
          </w:p>
        </w:tc>
      </w:tr>
      <w:tr>
        <w:tc>
          <w:tcPr>
            <w:tcW w:type="dxa" w:w="2200"/>
          </w:tcPr>
          <w:p>
            <w:r>
              <w:rPr>
                <w:b w:val="false"/>
                <w:bCs w:val="false"/>
                <w:sz w:val="20"/>
                <w:szCs w:val="20"/>
              </w:rPr>
              <w:t xml:space="preserve">Auditability</w:t>
            </w:r>
          </w:p>
        </w:tc>
        <w:tc>
          <w:tcPr>
            <w:tcW w:type="dxa" w:w="3000"/>
          </w:tcPr>
          <w:p>
            <w:r>
              <w:rPr>
                <w:b w:val="false"/>
                <w:bCs w:val="false"/>
                <w:sz w:val="20"/>
                <w:szCs w:val="20"/>
              </w:rPr>
              <w:t xml:space="preserve">Every state change must be traceable to an actor and a time</w:t>
            </w:r>
          </w:p>
        </w:tc>
        <w:tc>
          <w:tcPr>
            <w:tcW w:type="dxa" w:w="4300"/>
          </w:tcPr>
          <w:p>
            <w:r>
              <w:rPr>
                <w:b w:val="false"/>
                <w:bCs w:val="false"/>
                <w:sz w:val="20"/>
                <w:szCs w:val="20"/>
              </w:rPr>
              <w:t xml:space="preserve">stage_actions records every forward/send-back/reject/reassign/claim with actor, timestamp, and comment; nothing is a hard delete</w:t>
            </w:r>
          </w:p>
        </w:tc>
      </w:tr>
    </w:tbl>
    <w:p>
      <w:pPr>
        <w:pStyle w:val="Heading2"/>
        <w:spacing w:after="120" w:before="240"/>
      </w:pPr>
      <w:r>
        <w:t xml:space="preserve">6.1 Secrets management, in detail</w:t>
      </w:r>
    </w:p>
    <w:p>
      <w:pPr>
        <w:pStyle w:val="ListParagraph"/>
        <w:numPr>
          <w:ilvl w:val="0"/>
          <w:numId w:val="1"/>
        </w:numPr>
        <w:spacing w:after="60"/>
      </w:pPr>
      <w:r>
        <w:t xml:space="preserve">No credential, API key, or signing secret is ever hardcoded in source — all are read from environment variables at runtime.</w:t>
      </w:r>
    </w:p>
    <w:p>
      <w:pPr>
        <w:pStyle w:val="ListParagraph"/>
        <w:numPr>
          <w:ilvl w:val="0"/>
          <w:numId w:val="1"/>
        </w:numPr>
        <w:spacing w:after="60"/>
      </w:pPr>
      <w:r>
        <w:t xml:space="preserve">The application refuses to start if JWT_SECRET is missing or shorter than 32 characters, rather than silently running with a weak default.</w:t>
      </w:r>
    </w:p>
    <w:p>
      <w:pPr>
        <w:pStyle w:val="ListParagraph"/>
        <w:numPr>
          <w:ilvl w:val="0"/>
          <w:numId w:val="1"/>
        </w:numPr>
        <w:spacing w:after="60"/>
      </w:pPr>
      <w:r>
        <w:t xml:space="preserve">.env is git-ignored; only .env.example (placeholder values) is committed to the repository.</w:t>
      </w:r>
    </w:p>
    <w:p>
      <w:pPr>
        <w:pStyle w:val="ListParagraph"/>
        <w:numPr>
          <w:ilvl w:val="0"/>
          <w:numId w:val="1"/>
        </w:numPr>
        <w:spacing w:after="60"/>
      </w:pPr>
      <w:r>
        <w:t xml:space="preserve">Production database connections require TLS by default.</w:t>
      </w:r>
    </w:p>
    <w:p>
      <w:pPr>
        <w:pStyle w:val="Heading2"/>
        <w:spacing w:after="120" w:before="240"/>
      </w:pPr>
      <w:r>
        <w:t xml:space="preserve">6.2 SQL injection prevention, in detail</w:t>
      </w:r>
    </w:p>
    <w:p>
      <w:pPr>
        <w:pStyle w:val="ListParagraph"/>
        <w:numPr>
          <w:ilvl w:val="0"/>
          <w:numId w:val="1"/>
        </w:numPr>
        <w:spacing w:after="60"/>
      </w:pPr>
      <w:r>
        <w:t xml:space="preserve">Every database call in the codebase goes through the Knex query builder using parameterized methods (.where({...}), .insert({...})) — there is no string-concatenated or template-literal SQL anywhere.</w:t>
      </w:r>
    </w:p>
    <w:p>
      <w:pPr>
        <w:pStyle w:val="ListParagraph"/>
        <w:numPr>
          <w:ilvl w:val="0"/>
          <w:numId w:val="1"/>
        </w:numPr>
        <w:spacing w:after="60"/>
      </w:pPr>
      <w:r>
        <w:t xml:space="preserve">Path and body parameters that represent database identifiers (instance IDs, document type IDs, target user IDs) are format-validated as UUIDs before being used in a query, as an additional defense-in-depth layer beyond parameterization.</w:t>
      </w:r>
    </w:p>
    <w:p>
      <w:pPr>
        <w:pStyle w:val="ListParagraph"/>
        <w:numPr>
          <w:ilvl w:val="0"/>
          <w:numId w:val="1"/>
        </w:numPr>
        <w:spacing w:after="60"/>
      </w:pPr>
      <w:r>
        <w:t xml:space="preserve">Because the query builder itself prevents injection, this validation layer exists primarily to fail fast with a clear 400 error rather than an opaque database error, and to reduce the attack surface further.</w:t>
      </w:r>
    </w:p>
    <w:p>
      <w:pPr>
        <w:pStyle w:val="Heading2"/>
        <w:spacing w:after="120" w:before="240"/>
      </w:pPr>
      <w:r>
        <w:t xml:space="preserve">6.3 Indexing strategy, in detail</w:t>
      </w:r>
    </w:p>
    <w:p>
      <w:pPr>
        <w:pStyle w:val="ListParagraph"/>
        <w:numPr>
          <w:ilvl w:val="0"/>
          <w:numId w:val="1"/>
        </w:numPr>
        <w:spacing w:after="60"/>
      </w:pPr>
      <w:r>
        <w:t xml:space="preserve">Indexes are derived from the actual WHERE clauses used in the route and service code, not guessed in the abstract.</w:t>
      </w:r>
    </w:p>
    <w:p>
      <w:pPr>
        <w:pStyle w:val="ListParagraph"/>
        <w:numPr>
          <w:ilvl w:val="0"/>
          <w:numId w:val="1"/>
        </w:numPr>
        <w:spacing w:after="60"/>
      </w:pPr>
      <w:r>
        <w:t xml:space="preserve">Every foreign key used in a join or lookup is indexed: workflow_stages(workflow_template_id, stage_order), workflow_instances(document_type_id), stage_actions(instance_id), and so on.</w:t>
      </w:r>
    </w:p>
    <w:p>
      <w:pPr>
        <w:pStyle w:val="ListParagraph"/>
        <w:numPr>
          <w:ilvl w:val="0"/>
          <w:numId w:val="1"/>
        </w:numPr>
        <w:spacing w:after="60"/>
      </w:pPr>
      <w:r>
        <w:t xml:space="preserve">Composite indexes match compound filters actually issued by the API, such as workflow_instances(tenant_id, status) for the tenant dashboard and "my tasks" queries.</w:t>
      </w:r>
    </w:p>
    <w:p>
      <w:pPr>
        <w:pStyle w:val="ListParagraph"/>
        <w:numPr>
          <w:ilvl w:val="0"/>
          <w:numId w:val="1"/>
        </w:numPr>
        <w:spacing w:after="60"/>
      </w:pPr>
      <w:r>
        <w:t xml:space="preserve">The notifications table is indexed on status specifically to keep the background worker's polling query (WHERE status = 'pending') fast as the table grows.</w:t>
      </w:r>
    </w:p>
    <w:p>
      <w:pPr>
        <w:pStyle w:val="Heading1"/>
        <w:spacing w:after="150" w:before="300"/>
      </w:pPr>
      <w:r>
        <w:t xml:space="preserve">7. API Design Principles Followed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307FE2" w:val="clear"/>
          </w:tcPr>
          <w:p>
            <w:r>
              <w:rPr>
                <w:b/>
                <w:bCs/>
                <w:color w:val="FFFFFF"/>
                <w:sz w:val="20"/>
                <w:szCs w:val="20"/>
              </w:rPr>
              <w:t xml:space="preserve">Principle</w:t>
            </w:r>
          </w:p>
        </w:tc>
        <w:tc>
          <w:tcPr>
            <w:tcW w:type="dxa" w:w="6500"/>
            <w:shd w:fill="307FE2" w:val="clear"/>
          </w:tcPr>
          <w:p>
            <w:r>
              <w:rPr>
                <w:b/>
                <w:bCs/>
                <w:color w:val="FFFFFF"/>
                <w:sz w:val="20"/>
                <w:szCs w:val="20"/>
              </w:rPr>
              <w:t xml:space="preserve">How it's applied here</w:t>
            </w:r>
          </w:p>
        </w:tc>
      </w:tr>
      <w:tr>
        <w:tc>
          <w:tcPr>
            <w:tcW w:type="dxa" w:w="3000"/>
          </w:tcPr>
          <w:p>
            <w:r>
              <w:rPr>
                <w:b w:val="false"/>
                <w:bCs w:val="false"/>
                <w:sz w:val="20"/>
                <w:szCs w:val="20"/>
              </w:rPr>
              <w:t xml:space="preserve">Resource-oriented URLs</w:t>
            </w:r>
          </w:p>
        </w:tc>
        <w:tc>
          <w:tcPr>
            <w:tcW w:type="dxa" w:w="6500"/>
          </w:tcPr>
          <w:p>
            <w:r>
              <w:rPr>
                <w:b w:val="false"/>
                <w:bCs w:val="false"/>
                <w:sz w:val="20"/>
                <w:szCs w:val="20"/>
              </w:rPr>
              <w:t xml:space="preserve">/document-types, /workflow-templates, /instances — nouns, not verbs; actions are sub-resources or POST endpoints (/instances/:id/forward)</w:t>
            </w:r>
          </w:p>
        </w:tc>
      </w:tr>
      <w:tr>
        <w:tc>
          <w:tcPr>
            <w:tcW w:type="dxa" w:w="3000"/>
            <w:shd w:fill="F2F2F2" w:val="clear"/>
          </w:tcPr>
          <w:p>
            <w:r>
              <w:rPr>
                <w:b w:val="false"/>
                <w:bCs w:val="false"/>
                <w:sz w:val="20"/>
                <w:szCs w:val="20"/>
              </w:rPr>
              <w:t xml:space="preserve">Correct HTTP verbs</w:t>
            </w:r>
          </w:p>
        </w:tc>
        <w:tc>
          <w:tcPr>
            <w:tcW w:type="dxa" w:w="6500"/>
            <w:shd w:fill="F2F2F2" w:val="clear"/>
          </w:tcPr>
          <w:p>
            <w:r>
              <w:rPr>
                <w:b w:val="false"/>
                <w:bCs w:val="false"/>
                <w:sz w:val="20"/>
                <w:szCs w:val="20"/>
              </w:rPr>
              <w:t xml:space="preserve">GET for reads, POST for creates and state-changing actions, no unsafe GET side effects</w:t>
            </w:r>
          </w:p>
        </w:tc>
      </w:tr>
      <w:tr>
        <w:tc>
          <w:tcPr>
            <w:tcW w:type="dxa" w:w="3000"/>
          </w:tcPr>
          <w:p>
            <w:r>
              <w:rPr>
                <w:b w:val="false"/>
                <w:bCs w:val="false"/>
                <w:sz w:val="20"/>
                <w:szCs w:val="20"/>
              </w:rPr>
              <w:t xml:space="preserve">Meaningful status codes</w:t>
            </w:r>
          </w:p>
        </w:tc>
        <w:tc>
          <w:tcPr>
            <w:tcW w:type="dxa" w:w="6500"/>
          </w:tcPr>
          <w:p>
            <w:r>
              <w:rPr>
                <w:b w:val="false"/>
                <w:bCs w:val="false"/>
                <w:sz w:val="20"/>
                <w:szCs w:val="20"/>
              </w:rPr>
              <w:t xml:space="preserve">201 on creation, 400 on validation failure, 401 on missing/invalid auth, 403 on authorization failure, 404 on missing resource</w:t>
            </w:r>
          </w:p>
        </w:tc>
      </w:tr>
      <w:tr>
        <w:tc>
          <w:tcPr>
            <w:tcW w:type="dxa" w:w="3000"/>
            <w:shd w:fill="F2F2F2" w:val="clear"/>
          </w:tcPr>
          <w:p>
            <w:r>
              <w:rPr>
                <w:b w:val="false"/>
                <w:bCs w:val="false"/>
                <w:sz w:val="20"/>
                <w:szCs w:val="20"/>
              </w:rPr>
              <w:t xml:space="preserve">Statelessness</w:t>
            </w:r>
          </w:p>
        </w:tc>
        <w:tc>
          <w:tcPr>
            <w:tcW w:type="dxa" w:w="6500"/>
            <w:shd w:fill="F2F2F2" w:val="clear"/>
          </w:tcPr>
          <w:p>
            <w:r>
              <w:rPr>
                <w:b w:val="false"/>
                <w:bCs w:val="false"/>
                <w:sz w:val="20"/>
                <w:szCs w:val="20"/>
              </w:rPr>
              <w:t xml:space="preserve">Every request carries its own auth (JWT) and full input; the server holds no session state between requests</w:t>
            </w:r>
          </w:p>
        </w:tc>
      </w:tr>
      <w:tr>
        <w:tc>
          <w:tcPr>
            <w:tcW w:type="dxa" w:w="3000"/>
          </w:tcPr>
          <w:p>
            <w:r>
              <w:rPr>
                <w:b w:val="false"/>
                <w:bCs w:val="false"/>
                <w:sz w:val="20"/>
                <w:szCs w:val="20"/>
              </w:rPr>
              <w:t xml:space="preserve">Idempotency awareness</w:t>
            </w:r>
          </w:p>
        </w:tc>
        <w:tc>
          <w:tcPr>
            <w:tcW w:type="dxa" w:w="6500"/>
          </w:tcPr>
          <w:p>
            <w:r>
              <w:rPr>
                <w:b w:val="false"/>
                <w:bCs w:val="false"/>
                <w:sz w:val="20"/>
                <w:szCs w:val="20"/>
              </w:rPr>
              <w:t xml:space="preserve">Claim/forward/send-back/reject are guarded by current state checks (e.g. can't claim an already-claimed instance), so retried requests fail safely instead of double-processing</w:t>
            </w:r>
          </w:p>
        </w:tc>
      </w:tr>
      <w:tr>
        <w:tc>
          <w:tcPr>
            <w:tcW w:type="dxa" w:w="3000"/>
            <w:shd w:fill="F2F2F2" w:val="clear"/>
          </w:tcPr>
          <w:p>
            <w:r>
              <w:rPr>
                <w:b w:val="false"/>
                <w:bCs w:val="false"/>
                <w:sz w:val="20"/>
                <w:szCs w:val="20"/>
              </w:rPr>
              <w:t xml:space="preserve">Consistent error shape</w:t>
            </w:r>
          </w:p>
        </w:tc>
        <w:tc>
          <w:tcPr>
            <w:tcW w:type="dxa" w:w="6500"/>
            <w:shd w:fill="F2F2F2" w:val="clear"/>
          </w:tcPr>
          <w:p>
            <w:r>
              <w:rPr>
                <w:b w:val="false"/>
                <w:bCs w:val="false"/>
                <w:sz w:val="20"/>
                <w:szCs w:val="20"/>
              </w:rPr>
              <w:t xml:space="preserve">Every error response is { error: string }, so clients can handle failures uniformly</w:t>
            </w:r>
          </w:p>
        </w:tc>
      </w:tr>
      <w:tr>
        <w:tc>
          <w:tcPr>
            <w:tcW w:type="dxa" w:w="3000"/>
          </w:tcPr>
          <w:p>
            <w:r>
              <w:rPr>
                <w:b w:val="false"/>
                <w:bCs w:val="false"/>
                <w:sz w:val="20"/>
                <w:szCs w:val="20"/>
              </w:rPr>
              <w:t xml:space="preserve">Versioning readiness</w:t>
            </w:r>
          </w:p>
        </w:tc>
        <w:tc>
          <w:tcPr>
            <w:tcW w:type="dxa" w:w="6500"/>
          </w:tcPr>
          <w:p>
            <w:r>
              <w:rPr>
                <w:b w:val="false"/>
                <w:bCs w:val="false"/>
                <w:sz w:val="20"/>
                <w:szCs w:val="20"/>
              </w:rPr>
              <w:t xml:space="preserve">Routes are mounted under clear prefixes now, making it straightforward to introduce /v2 prefixes later without breaking existing integrations</w:t>
            </w:r>
          </w:p>
        </w:tc>
      </w:tr>
      <w:tr>
        <w:tc>
          <w:tcPr>
            <w:tcW w:type="dxa" w:w="3000"/>
            <w:shd w:fill="F2F2F2" w:val="clear"/>
          </w:tcPr>
          <w:p>
            <w:r>
              <w:rPr>
                <w:b w:val="false"/>
                <w:bCs w:val="false"/>
                <w:sz w:val="20"/>
                <w:szCs w:val="20"/>
              </w:rPr>
              <w:t xml:space="preserve">Separation of concerns</w:t>
            </w:r>
          </w:p>
        </w:tc>
        <w:tc>
          <w:tcPr>
            <w:tcW w:type="dxa" w:w="6500"/>
            <w:shd w:fill="F2F2F2" w:val="clear"/>
          </w:tcPr>
          <w:p>
            <w:r>
              <w:rPr>
                <w:b w:val="false"/>
                <w:bCs w:val="false"/>
                <w:sz w:val="20"/>
                <w:szCs w:val="20"/>
              </w:rPr>
              <w:t xml:space="preserve">Routes handle HTTP concerns only; business rules live in src/services/workflowEngine.js, so the same logic can be reused outside the HTTP layer (e.g. a future CLI or batch job)</w:t>
            </w:r>
          </w:p>
        </w:tc>
      </w:tr>
    </w:tbl>
    <w:p>
      <w:r>
        <w:br w:type="page"/>
      </w:r>
    </w:p>
    <w:p>
      <w:pPr>
        <w:pStyle w:val="Heading1"/>
        <w:spacing w:after="150" w:before="300"/>
      </w:pPr>
      <w:r>
        <w:t xml:space="preserve">8. Phased Implementation Plan (Detailed)</w:t>
      </w:r>
    </w:p>
    <w:p>
      <w:pPr>
        <w:pStyle w:val="Heading2"/>
        <w:spacing w:after="120" w:before="240"/>
      </w:pPr>
      <w:r>
        <w:t xml:space="preserve">Phase 0 — Foundations (~1 week)</w:t>
      </w:r>
    </w:p>
    <w:p>
      <w:pPr>
        <w:pStyle w:val="ListParagraph"/>
        <w:numPr>
          <w:ilvl w:val="0"/>
          <w:numId w:val="1"/>
        </w:numPr>
        <w:spacing w:after="60"/>
      </w:pPr>
      <w:r>
        <w:t xml:space="preserve">Initialize repository, .gitignore (never commit .env), and branch strategy</w:t>
      </w:r>
    </w:p>
    <w:p>
      <w:pPr>
        <w:pStyle w:val="ListParagraph"/>
        <w:numPr>
          <w:ilvl w:val="0"/>
          <w:numId w:val="1"/>
        </w:numPr>
        <w:spacing w:after="60"/>
      </w:pPr>
      <w:r>
        <w:t xml:space="preserve">Docker Compose skeleton for API + PostgreSQL, matching the existing DOK GCP pattern</w:t>
      </w:r>
    </w:p>
    <w:p>
      <w:pPr>
        <w:pStyle w:val="ListParagraph"/>
        <w:numPr>
          <w:ilvl w:val="0"/>
          <w:numId w:val="1"/>
        </w:numPr>
        <w:spacing w:after="60"/>
      </w:pPr>
      <w:r>
        <w:t xml:space="preserve">Knex migration tooling wired up; run and verify migrations 001-010 on a clean database</w:t>
      </w:r>
    </w:p>
    <w:p>
      <w:pPr>
        <w:pStyle w:val="ListParagraph"/>
        <w:numPr>
          <w:ilvl w:val="0"/>
          <w:numId w:val="1"/>
        </w:numPr>
        <w:spacing w:after="60"/>
      </w:pPr>
      <w:r>
        <w:t xml:space="preserve">JWT auth middleware with fail-fast secret validation; tenant + role model in place</w:t>
      </w:r>
    </w:p>
    <w:p>
      <w:pPr>
        <w:pStyle w:val="ListParagraph"/>
        <w:numPr>
          <w:ilvl w:val="0"/>
          <w:numId w:val="1"/>
        </w:numPr>
        <w:spacing w:after="60"/>
      </w:pPr>
      <w:r>
        <w:t xml:space="preserve">helmet, CORS allowlist, and baseline rate limiting added at the app level</w:t>
      </w:r>
    </w:p>
    <w:p>
      <w:pPr>
        <w:pStyle w:val="ListParagraph"/>
        <w:numPr>
          <w:ilvl w:val="0"/>
          <w:numId w:val="1"/>
        </w:numPr>
        <w:spacing w:after="60"/>
      </w:pPr>
      <w:r>
        <w:t xml:space="preserve">Exit criteria: a fresh clone + npm install + npm run migrate + npm run dev boots cleanly and /health returns 200</w:t>
      </w:r>
    </w:p>
    <w:p>
      <w:pPr>
        <w:pStyle w:val="Heading2"/>
        <w:spacing w:after="120" w:before="240"/>
      </w:pPr>
      <w:r>
        <w:t xml:space="preserve">Phase 1 — Template &amp; workflow configuration (~1.5 weeks)</w:t>
      </w:r>
    </w:p>
    <w:p>
      <w:pPr>
        <w:pStyle w:val="ListParagraph"/>
        <w:numPr>
          <w:ilvl w:val="0"/>
          <w:numId w:val="1"/>
        </w:numPr>
        <w:spacing w:after="60"/>
      </w:pPr>
      <w:r>
        <w:t xml:space="preserve">Admin API: upload and version master template files (template_files, template_file_versions)</w:t>
      </w:r>
    </w:p>
    <w:p>
      <w:pPr>
        <w:pStyle w:val="ListParagraph"/>
        <w:numPr>
          <w:ilvl w:val="0"/>
          <w:numId w:val="1"/>
        </w:numPr>
        <w:spacing w:after="60"/>
      </w:pPr>
      <w:r>
        <w:t xml:space="preserve">Admin API: workflow builder — create a workflow template, add stages in order with user-or-role assignment and allowed actions</w:t>
      </w:r>
    </w:p>
    <w:p>
      <w:pPr>
        <w:pStyle w:val="ListParagraph"/>
        <w:numPr>
          <w:ilvl w:val="0"/>
          <w:numId w:val="1"/>
        </w:numPr>
        <w:spacing w:after="60"/>
      </w:pPr>
      <w:r>
        <w:t xml:space="preserve">Document type CRUD, linking a template file to a workflow template, with upload-type/size limits configurable per type</w:t>
      </w:r>
    </w:p>
    <w:p>
      <w:pPr>
        <w:pStyle w:val="ListParagraph"/>
        <w:numPr>
          <w:ilvl w:val="0"/>
          <w:numId w:val="1"/>
        </w:numPr>
        <w:spacing w:after="60"/>
      </w:pPr>
      <w:r>
        <w:t xml:space="preserve">Input validation on every admin-facing POST body (required fields, UUID format)</w:t>
      </w:r>
    </w:p>
    <w:p>
      <w:pPr>
        <w:pStyle w:val="ListParagraph"/>
        <w:numPr>
          <w:ilvl w:val="0"/>
          <w:numId w:val="1"/>
        </w:numPr>
        <w:spacing w:after="60"/>
      </w:pPr>
      <w:r>
        <w:t xml:space="preserve">Exit criteria: an admin can, via API calls, fully configure a 3-stage workflow end to end without touching the database directly</w:t>
      </w:r>
    </w:p>
    <w:p>
      <w:pPr>
        <w:pStyle w:val="Heading2"/>
        <w:spacing w:after="120" w:before="240"/>
      </w:pPr>
      <w:r>
        <w:t xml:space="preserve">Phase 2 — Workflow engine core (~2 weeks)</w:t>
      </w:r>
    </w:p>
    <w:p>
      <w:pPr>
        <w:pStyle w:val="ListParagraph"/>
        <w:numPr>
          <w:ilvl w:val="0"/>
          <w:numId w:val="1"/>
        </w:numPr>
        <w:spacing w:after="60"/>
      </w:pPr>
      <w:r>
        <w:t xml:space="preserve">Start instance: pick a document type, snapshot the template version, create the instance at stage 1</w:t>
      </w:r>
    </w:p>
    <w:p>
      <w:pPr>
        <w:pStyle w:val="ListParagraph"/>
        <w:numPr>
          <w:ilvl w:val="0"/>
          <w:numId w:val="1"/>
        </w:numPr>
        <w:spacing w:after="60"/>
      </w:pPr>
      <w:r>
        <w:t xml:space="preserve">Claim flow for role-based stages, preventing concurrent action by two role-holders</w:t>
      </w:r>
    </w:p>
    <w:p>
      <w:pPr>
        <w:pStyle w:val="ListParagraph"/>
        <w:numPr>
          <w:ilvl w:val="0"/>
          <w:numId w:val="1"/>
        </w:numPr>
        <w:spacing w:after="60"/>
      </w:pPr>
      <w:r>
        <w:t xml:space="preserve">Download current version / upload new version (save cycle), versioned and never overwritten</w:t>
      </w:r>
    </w:p>
    <w:p>
      <w:pPr>
        <w:pStyle w:val="ListParagraph"/>
        <w:numPr>
          <w:ilvl w:val="0"/>
          <w:numId w:val="1"/>
        </w:numPr>
        <w:spacing w:after="60"/>
      </w:pPr>
      <w:r>
        <w:t xml:space="preserve">Forward / send-back / hard-reject transitions, each authorization-checked against the current stage's assignee rules</w:t>
      </w:r>
    </w:p>
    <w:p>
      <w:pPr>
        <w:pStyle w:val="ListParagraph"/>
        <w:numPr>
          <w:ilvl w:val="0"/>
          <w:numId w:val="1"/>
        </w:numPr>
        <w:spacing w:after="60"/>
      </w:pPr>
      <w:r>
        <w:t xml:space="preserve">Admin reassignment for stuck instances; clone-after-reject for resubmission</w:t>
      </w:r>
    </w:p>
    <w:p>
      <w:pPr>
        <w:pStyle w:val="ListParagraph"/>
        <w:numPr>
          <w:ilvl w:val="0"/>
          <w:numId w:val="1"/>
        </w:numPr>
        <w:spacing w:after="60"/>
      </w:pPr>
      <w:r>
        <w:t xml:space="preserve">Exit criteria: a document can be walked through a full multi-stage workflow via API calls alone, including a send-back and a hard reject, with correct state at every step</w:t>
      </w:r>
    </w:p>
    <w:p>
      <w:pPr>
        <w:pStyle w:val="Heading2"/>
        <w:spacing w:after="120" w:before="240"/>
      </w:pPr>
      <w:r>
        <w:t xml:space="preserve">Phase 3 — Notifications (~1 week)</w:t>
      </w:r>
    </w:p>
    <w:p>
      <w:pPr>
        <w:pStyle w:val="ListParagraph"/>
        <w:numPr>
          <w:ilvl w:val="0"/>
          <w:numId w:val="1"/>
        </w:numPr>
        <w:spacing w:after="60"/>
      </w:pPr>
      <w:r>
        <w:t xml:space="preserve">Notifications queue table and background worker (poll-and-send with retry)</w:t>
      </w:r>
    </w:p>
    <w:p>
      <w:pPr>
        <w:pStyle w:val="ListParagraph"/>
        <w:numPr>
          <w:ilvl w:val="0"/>
          <w:numId w:val="1"/>
        </w:numPr>
        <w:spacing w:after="60"/>
      </w:pPr>
      <w:r>
        <w:t xml:space="preserve">Per-event email templates: assigned, forwarded, sent back, rejected, completed, reassigned</w:t>
      </w:r>
    </w:p>
    <w:p>
      <w:pPr>
        <w:pStyle w:val="ListParagraph"/>
        <w:numPr>
          <w:ilvl w:val="0"/>
          <w:numId w:val="1"/>
        </w:numPr>
        <w:spacing w:after="60"/>
      </w:pPr>
      <w:r>
        <w:t xml:space="preserve">Failure handling: capped retry attempts, last_error captured for diagnosis</w:t>
      </w:r>
    </w:p>
    <w:p>
      <w:pPr>
        <w:pStyle w:val="ListParagraph"/>
        <w:numPr>
          <w:ilvl w:val="0"/>
          <w:numId w:val="1"/>
        </w:numPr>
        <w:spacing w:after="60"/>
      </w:pPr>
      <w:r>
        <w:t xml:space="preserve">Exit criteria: every transition in Phase 2's test walkthrough produces the correct emails to the correct recipients, and a simulated SMTP outage is retried rather than silently dropped</w:t>
      </w:r>
    </w:p>
    <w:p>
      <w:pPr>
        <w:pStyle w:val="Heading2"/>
        <w:spacing w:after="120" w:before="240"/>
      </w:pPr>
      <w:r>
        <w:t xml:space="preserve">Phase 4 — Dashboards &amp; audit trail (~1 week)</w:t>
      </w:r>
    </w:p>
    <w:p>
      <w:pPr>
        <w:pStyle w:val="ListParagraph"/>
        <w:numPr>
          <w:ilvl w:val="0"/>
          <w:numId w:val="1"/>
        </w:numPr>
        <w:spacing w:after="60"/>
      </w:pPr>
      <w:r>
        <w:t xml:space="preserve">"My tasks" endpoint: assigned to me, waiting on others, completed</w:t>
      </w:r>
    </w:p>
    <w:p>
      <w:pPr>
        <w:pStyle w:val="ListParagraph"/>
        <w:numPr>
          <w:ilvl w:val="0"/>
          <w:numId w:val="1"/>
        </w:numPr>
        <w:spacing w:after="60"/>
      </w:pPr>
      <w:r>
        <w:t xml:space="preserve">Instance detail view: full version history and full stage_actions audit log</w:t>
      </w:r>
    </w:p>
    <w:p>
      <w:pPr>
        <w:pStyle w:val="ListParagraph"/>
        <w:numPr>
          <w:ilvl w:val="0"/>
          <w:numId w:val="1"/>
        </w:numPr>
        <w:spacing w:after="60"/>
      </w:pPr>
      <w:r>
        <w:t xml:space="preserve">Admin overview: all instances per tenant, filterable by status and document type</w:t>
      </w:r>
    </w:p>
    <w:p>
      <w:pPr>
        <w:pStyle w:val="ListParagraph"/>
        <w:numPr>
          <w:ilvl w:val="0"/>
          <w:numId w:val="1"/>
        </w:numPr>
        <w:spacing w:after="60"/>
      </w:pPr>
      <w:r>
        <w:t xml:space="preserve">Exit criteria: any instance's full history can be reconstructed from the API alone, with no need to query the database directly</w:t>
      </w:r>
    </w:p>
    <w:p>
      <w:pPr>
        <w:pStyle w:val="Heading2"/>
        <w:spacing w:after="120" w:before="240"/>
      </w:pPr>
      <w:r>
        <w:t xml:space="preserve">Phase 5 — Hardening &amp; QA (~1 week)</w:t>
      </w:r>
    </w:p>
    <w:p>
      <w:pPr>
        <w:pStyle w:val="ListParagraph"/>
        <w:numPr>
          <w:ilvl w:val="0"/>
          <w:numId w:val="1"/>
        </w:numPr>
        <w:spacing w:after="60"/>
      </w:pPr>
      <w:r>
        <w:t xml:space="preserve">Confirm upload validation rejects wrong file types, oversized files, and mismatched signatures</w:t>
      </w:r>
    </w:p>
    <w:p>
      <w:pPr>
        <w:pStyle w:val="ListParagraph"/>
        <w:numPr>
          <w:ilvl w:val="0"/>
          <w:numId w:val="1"/>
        </w:numPr>
        <w:spacing w:after="60"/>
      </w:pPr>
      <w:r>
        <w:t xml:space="preserve">Tenant-isolation testing: verify tenant A can never read or act on tenant B's data under any endpoint</w:t>
      </w:r>
    </w:p>
    <w:p>
      <w:pPr>
        <w:pStyle w:val="ListParagraph"/>
        <w:numPr>
          <w:ilvl w:val="0"/>
          <w:numId w:val="1"/>
        </w:numPr>
        <w:spacing w:after="60"/>
      </w:pPr>
      <w:r>
        <w:t xml:space="preserve">Load test with a realistic version-history volume to confirm indexes are effective</w:t>
      </w:r>
    </w:p>
    <w:p>
      <w:pPr>
        <w:pStyle w:val="ListParagraph"/>
        <w:numPr>
          <w:ilvl w:val="0"/>
          <w:numId w:val="1"/>
        </w:numPr>
        <w:spacing w:after="60"/>
      </w:pPr>
      <w:r>
        <w:t xml:space="preserve">Internal UAT with one real DOK workflow before pitching externally</w:t>
      </w:r>
    </w:p>
    <w:p>
      <w:pPr>
        <w:pStyle w:val="ListParagraph"/>
        <w:numPr>
          <w:ilvl w:val="0"/>
          <w:numId w:val="1"/>
        </w:numPr>
        <w:spacing w:after="60"/>
      </w:pPr>
      <w:r>
        <w:t xml:space="preserve">Exit criteria: security checklist (Section 6) fully verified against the running system, not just the code</w:t>
      </w:r>
    </w:p>
    <w:p>
      <w:pPr>
        <w:spacing w:after="120"/>
      </w:pPr>
      <w:r>
        <w:t xml:space="preserve">Total: roughly 6.5-7 weeks for a single developer at a typical pace; less with support on the admin UI and dashboard screens.</w:t>
      </w:r>
    </w:p>
    <w:p>
      <w:pPr>
        <w:pStyle w:val="Heading1"/>
        <w:spacing w:after="150" w:before="300"/>
      </w:pPr>
      <w:r>
        <w:t xml:space="preserve">9. Technology Stack</w:t>
      </w:r>
    </w:p>
    <w:p>
      <w:pPr>
        <w:pStyle w:val="ListParagraph"/>
        <w:numPr>
          <w:ilvl w:val="0"/>
          <w:numId w:val="1"/>
        </w:numPr>
        <w:spacing w:after="60"/>
      </w:pPr>
      <w:r>
        <w:t xml:space="preserve">Backend: Node.js / Express</w:t>
      </w:r>
    </w:p>
    <w:p>
      <w:pPr>
        <w:pStyle w:val="ListParagraph"/>
        <w:numPr>
          <w:ilvl w:val="0"/>
          <w:numId w:val="1"/>
        </w:numPr>
        <w:spacing w:after="60"/>
      </w:pPr>
      <w:r>
        <w:t xml:space="preserve">Database: PostgreSQL (via Knex migrations and query builder — no raw SQL)</w:t>
      </w:r>
    </w:p>
    <w:p>
      <w:pPr>
        <w:pStyle w:val="ListParagraph"/>
        <w:numPr>
          <w:ilvl w:val="0"/>
          <w:numId w:val="1"/>
        </w:numPr>
        <w:spacing w:after="60"/>
      </w:pPr>
      <w:r>
        <w:t xml:space="preserve">Frontend: React</w:t>
      </w:r>
    </w:p>
    <w:p>
      <w:pPr>
        <w:pStyle w:val="ListParagraph"/>
        <w:numPr>
          <w:ilvl w:val="0"/>
          <w:numId w:val="1"/>
        </w:numPr>
        <w:spacing w:after="60"/>
      </w:pPr>
      <w:r>
        <w:t xml:space="preserve">Deployment: Docker Compose on the existing GCP VM pattern</w:t>
      </w:r>
    </w:p>
    <w:p>
      <w:pPr>
        <w:pStyle w:val="ListParagraph"/>
        <w:numPr>
          <w:ilvl w:val="0"/>
          <w:numId w:val="1"/>
        </w:numPr>
        <w:spacing w:after="60"/>
      </w:pPr>
      <w:r>
        <w:t xml:space="preserve">Email: SMTP via Nodemailer, queued and retried</w:t>
      </w:r>
    </w:p>
    <w:p>
      <w:pPr>
        <w:pStyle w:val="ListParagraph"/>
        <w:numPr>
          <w:ilvl w:val="0"/>
          <w:numId w:val="1"/>
        </w:numPr>
        <w:spacing w:after="60"/>
      </w:pPr>
      <w:r>
        <w:t xml:space="preserve">Security middleware: helmet, cors (origin allowlist), express-rate-limit</w:t>
      </w:r>
    </w:p>
    <w:p>
      <w:pPr>
        <w:pStyle w:val="Heading1"/>
        <w:spacing w:after="150" w:before="300"/>
      </w:pPr>
      <w:r>
        <w:t xml:space="preserve">10. Out of Scope for Phase 1</w:t>
      </w:r>
    </w:p>
    <w:p>
      <w:pPr>
        <w:pStyle w:val="ListParagraph"/>
        <w:numPr>
          <w:ilvl w:val="0"/>
          <w:numId w:val="1"/>
        </w:numPr>
        <w:spacing w:after="60"/>
      </w:pPr>
      <w:r>
        <w:t xml:space="preserve">Parallel stages and conditional/branching routes</w:t>
      </w:r>
    </w:p>
    <w:p>
      <w:pPr>
        <w:pStyle w:val="ListParagraph"/>
        <w:numPr>
          <w:ilvl w:val="0"/>
          <w:numId w:val="1"/>
        </w:numPr>
        <w:spacing w:after="60"/>
      </w:pPr>
      <w:r>
        <w:t xml:space="preserve">SLA or deadline-based escalation</w:t>
      </w:r>
    </w:p>
    <w:p>
      <w:pPr>
        <w:pStyle w:val="ListParagraph"/>
        <w:numPr>
          <w:ilvl w:val="0"/>
          <w:numId w:val="1"/>
        </w:numPr>
        <w:spacing w:after="60"/>
      </w:pPr>
      <w:r>
        <w:t xml:space="preserve">In-browser document editing (OnlyOffice/Collabora)</w:t>
      </w:r>
    </w:p>
    <w:p>
      <w:pPr>
        <w:pStyle w:val="ListParagraph"/>
        <w:numPr>
          <w:ilvl w:val="0"/>
          <w:numId w:val="1"/>
        </w:numPr>
        <w:spacing w:after="60"/>
      </w:pPr>
      <w:r>
        <w:t xml:space="preserve">Tenant branding on outbound emails</w:t>
      </w:r>
    </w:p>
    <w:p>
      <w:pPr>
        <w:pStyle w:val="ListParagraph"/>
        <w:numPr>
          <w:ilvl w:val="0"/>
          <w:numId w:val="1"/>
        </w:numPr>
        <w:spacing w:after="60"/>
      </w:pPr>
      <w:r>
        <w:t xml:space="preserve">Automated test suite</w:t>
      </w:r>
    </w:p>
    <w:p>
      <w:pPr>
        <w:pStyle w:val="ListParagraph"/>
        <w:numPr>
          <w:ilvl w:val="0"/>
          <w:numId w:val="1"/>
        </w:numPr>
        <w:spacing w:after="60"/>
      </w:pPr>
      <w:r>
        <w:t xml:space="preserve">A dedicated /auth/login endpoint and password reset flow (the auth middleware assumes a token is already issued — this must be built before go-live)</w:t>
      </w:r>
    </w:p>
    <w:p>
      <w:pPr>
        <w:pStyle w:val="Heading1"/>
        <w:spacing w:after="150" w:before="300"/>
      </w:pPr>
      <w:r>
        <w:t xml:space="preserve">11. Open Decision</w:t>
      </w:r>
    </w:p>
    <w:p>
      <w:pPr>
        <w:spacing w:after="120"/>
      </w:pPr>
      <w:r>
        <w:t xml:space="preserve">Whether "send back" should always return to the immediately previous stage, or allow the sender to choose any earlier stage. Phase 1 defaults to one-stage-back only; the schema already stores an explicit target stage so this can be extended later without a migration.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F3864"/>
      <w:sz w:val="32"/>
      <w:szCs w:val="32"/>
    </w:rPr>
  </w:style>
  <w:style w:type="paragraph" w:styleId="Heading2">
    <w:name w:val="Heading 2"/>
    <w:basedOn w:val="Normal"/>
    <w:next w:val="Normal"/>
    <w:pPr>
      <w:spacing w:after="120" w:before="240"/>
    </w:pPr>
    <w:rPr>
      <w:b/>
      <w:bCs/>
      <w:color w:val="307FE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2026-08-27T07:09:04.896Z</dcterms:created>
  <dcterms:modified xsi:type="dcterms:W3CDTF">2026-08-27T07:09:04.896Z</dcterms:modified>
</cp:coreProperties>
</file>

<file path=docProps/custom.xml><?xml version="1.0" encoding="utf-8"?>
<Properties xmlns="http://schemas.openxmlformats.org/officeDocument/2006/custom-properties" xmlns:vt="http://schemas.openxmlformats.org/officeDocument/2006/docPropsVTypes"/>
</file>