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E2C75">
      <w:pPr>
        <w:pStyle w:val="4"/>
        <w:keepNext w:val="0"/>
        <w:keepLines w:val="0"/>
        <w:pageBreakBefore w:val="0"/>
        <w:widowControl/>
        <w:suppressLineNumbers w:val="0"/>
        <w:shd w:val="clear" w:fill="FFFFFF"/>
        <w:kinsoku/>
        <w:wordWrap/>
        <w:overflowPunct/>
        <w:topLinePunct w:val="0"/>
        <w:autoSpaceDN/>
        <w:bidi w:val="0"/>
        <w:spacing w:before="384" w:beforeAutospacing="0" w:after="192" w:afterAutospacing="0" w:line="240" w:lineRule="auto"/>
        <w:ind w:left="0" w:leftChars="0" w:right="0" w:firstLine="0"/>
        <w:jc w:val="left"/>
        <w:rPr>
          <w:rFonts w:hint="eastAsia" w:ascii="宋体" w:hAnsi="宋体" w:eastAsia="宋体" w:cs="宋体"/>
          <w:b/>
          <w:bCs/>
          <w:caps w:val="0"/>
          <w:color w:val="0F1115"/>
          <w:spacing w:val="0"/>
          <w:sz w:val="24"/>
          <w:szCs w:val="24"/>
          <w:lang w:eastAsia="zh-CN"/>
        </w:rPr>
      </w:pPr>
      <w:r>
        <w:rPr>
          <w:rFonts w:hint="eastAsia" w:cs="宋体"/>
          <w:b/>
          <w:bCs/>
          <w:caps w:val="0"/>
          <w:color w:val="0F1115"/>
          <w:spacing w:val="0"/>
          <w:sz w:val="24"/>
          <w:szCs w:val="24"/>
          <w:shd w:val="clear" w:fill="FFFFFF"/>
          <w:lang w:val="en-US" w:eastAsia="zh-CN"/>
        </w:rPr>
        <w:t>中文</w:t>
      </w:r>
      <w:r>
        <w:rPr>
          <w:rFonts w:hint="eastAsia" w:ascii="宋体" w:hAnsi="宋体" w:eastAsia="宋体" w:cs="宋体"/>
          <w:b/>
          <w:bCs/>
          <w:caps w:val="0"/>
          <w:color w:val="0F1115"/>
          <w:spacing w:val="0"/>
          <w:sz w:val="24"/>
          <w:szCs w:val="24"/>
          <w:shd w:val="clear" w:fill="FFFFFF"/>
          <w:lang w:eastAsia="zh-CN"/>
        </w:rPr>
        <w:t>：</w:t>
      </w:r>
    </w:p>
    <w:p w14:paraId="4F9D6BD1">
      <w:pPr>
        <w:pStyle w:val="4"/>
        <w:keepNext w:val="0"/>
        <w:keepLines w:val="0"/>
        <w:pageBreakBefore w:val="0"/>
        <w:widowControl/>
        <w:suppressLineNumbers w:val="0"/>
        <w:shd w:val="clear" w:fill="FFFFFF"/>
        <w:kinsoku/>
        <w:wordWrap/>
        <w:overflowPunct/>
        <w:topLinePunct w:val="0"/>
        <w:autoSpaceDN/>
        <w:bidi w:val="0"/>
        <w:spacing w:before="384" w:beforeAutospacing="0" w:after="192" w:afterAutospacing="0" w:line="240" w:lineRule="auto"/>
        <w:ind w:left="0" w:leftChars="0" w:right="0" w:firstLine="0"/>
        <w:jc w:val="left"/>
        <w:rPr>
          <w:rFonts w:hint="eastAsia" w:ascii="宋体" w:hAnsi="宋体" w:eastAsia="宋体" w:cs="宋体"/>
          <w:b/>
          <w:sz w:val="24"/>
          <w:szCs w:val="24"/>
        </w:rPr>
      </w:pPr>
      <w:r>
        <w:rPr>
          <w:rFonts w:hint="eastAsia" w:ascii="宋体" w:hAnsi="宋体" w:eastAsia="宋体" w:cs="宋体"/>
          <w:b/>
          <w:sz w:val="24"/>
          <w:szCs w:val="24"/>
        </w:rPr>
        <w:t>镜像疗法与</w:t>
      </w:r>
      <w:r>
        <w:rPr>
          <w:rFonts w:hint="eastAsia" w:cs="宋体"/>
          <w:b/>
          <w:sz w:val="24"/>
          <w:szCs w:val="24"/>
          <w:lang w:val="en-US" w:eastAsia="zh-CN"/>
        </w:rPr>
        <w:t>智能</w:t>
      </w:r>
      <w:r>
        <w:rPr>
          <w:rFonts w:hint="eastAsia" w:ascii="宋体" w:hAnsi="宋体" w:eastAsia="宋体" w:cs="宋体"/>
          <w:b/>
          <w:sz w:val="24"/>
          <w:szCs w:val="24"/>
        </w:rPr>
        <w:t>气动</w:t>
      </w:r>
      <w:r>
        <w:rPr>
          <w:rFonts w:hint="eastAsia" w:cs="宋体"/>
          <w:b/>
          <w:sz w:val="24"/>
          <w:szCs w:val="24"/>
          <w:lang w:val="en-US" w:eastAsia="zh-CN"/>
        </w:rPr>
        <w:t>式柔性</w:t>
      </w:r>
      <w:r>
        <w:rPr>
          <w:rFonts w:hint="eastAsia" w:ascii="宋体" w:hAnsi="宋体" w:eastAsia="宋体" w:cs="宋体"/>
          <w:b/>
          <w:sz w:val="24"/>
          <w:szCs w:val="24"/>
        </w:rPr>
        <w:t>手套训练对脑卒中后手部远端功能的协同效应：一项基于功能性近红外光谱（fNIRS）的随机研究摘要</w:t>
      </w:r>
    </w:p>
    <w:p w14:paraId="55789535">
      <w:pPr>
        <w:pStyle w:val="4"/>
        <w:keepNext w:val="0"/>
        <w:keepLines w:val="0"/>
        <w:pageBreakBefore w:val="0"/>
        <w:widowControl/>
        <w:suppressLineNumbers w:val="0"/>
        <w:shd w:val="clear" w:fill="FFFFFF"/>
        <w:kinsoku/>
        <w:wordWrap/>
        <w:overflowPunct/>
        <w:topLinePunct w:val="0"/>
        <w:autoSpaceDN/>
        <w:bidi w:val="0"/>
        <w:spacing w:before="384" w:beforeAutospacing="0" w:after="192" w:afterAutospacing="0" w:line="240" w:lineRule="auto"/>
        <w:ind w:left="0" w:leftChars="0" w:right="0" w:firstLine="0"/>
        <w:jc w:val="center"/>
        <w:rPr>
          <w:rFonts w:hint="eastAsia" w:ascii="宋体" w:hAnsi="宋体" w:cs="宋体"/>
          <w:b/>
          <w:sz w:val="24"/>
          <w:szCs w:val="24"/>
          <w:vertAlign w:val="superscript"/>
          <w:lang w:val="en-US" w:eastAsia="zh-CN"/>
        </w:rPr>
      </w:pPr>
      <w:r>
        <w:rPr>
          <w:rFonts w:hint="eastAsia" w:ascii="宋体" w:hAnsi="宋体" w:cs="宋体"/>
          <w:b/>
          <w:sz w:val="24"/>
          <w:szCs w:val="24"/>
          <w:lang w:val="en-US" w:eastAsia="zh-CN"/>
        </w:rPr>
        <w:t>Cuifeng Wen</w:t>
      </w:r>
      <w:r>
        <w:rPr>
          <w:rFonts w:hint="eastAsia" w:ascii="宋体" w:hAnsi="宋体" w:cs="宋体"/>
          <w:b/>
          <w:sz w:val="24"/>
          <w:szCs w:val="24"/>
          <w:vertAlign w:val="superscript"/>
          <w:lang w:val="en-US" w:eastAsia="zh-CN"/>
        </w:rPr>
        <w:t>1</w:t>
      </w:r>
      <w:r>
        <w:rPr>
          <w:rFonts w:hint="eastAsia" w:ascii="宋体" w:hAnsi="宋体" w:cs="宋体"/>
          <w:b/>
          <w:sz w:val="24"/>
          <w:szCs w:val="24"/>
          <w:lang w:val="en-US" w:eastAsia="zh-CN"/>
        </w:rPr>
        <w:t xml:space="preserve"> Tianyu Ma</w:t>
      </w:r>
      <w:r>
        <w:rPr>
          <w:rFonts w:hint="eastAsia" w:ascii="宋体" w:hAnsi="宋体" w:cs="宋体"/>
          <w:b/>
          <w:sz w:val="24"/>
          <w:szCs w:val="24"/>
          <w:vertAlign w:val="superscript"/>
          <w:lang w:val="en-US" w:eastAsia="zh-CN"/>
        </w:rPr>
        <w:t>2*</w:t>
      </w:r>
      <w:r>
        <w:rPr>
          <w:rFonts w:hint="eastAsia" w:ascii="宋体" w:hAnsi="宋体" w:cs="宋体"/>
          <w:b/>
          <w:sz w:val="24"/>
          <w:szCs w:val="24"/>
          <w:lang w:val="en-US" w:eastAsia="zh-CN"/>
        </w:rPr>
        <w:t xml:space="preserve">   Hao Huang</w:t>
      </w:r>
      <w:r>
        <w:rPr>
          <w:rFonts w:hint="eastAsia" w:ascii="宋体" w:hAnsi="宋体" w:cs="宋体"/>
          <w:b/>
          <w:sz w:val="24"/>
          <w:szCs w:val="24"/>
          <w:vertAlign w:val="superscript"/>
          <w:lang w:val="en-US" w:eastAsia="zh-CN"/>
        </w:rPr>
        <w:t xml:space="preserve">1  </w:t>
      </w:r>
      <w:r>
        <w:rPr>
          <w:rFonts w:hint="eastAsia" w:ascii="宋体" w:hAnsi="宋体" w:cs="宋体"/>
          <w:b/>
          <w:sz w:val="24"/>
          <w:szCs w:val="24"/>
          <w:lang w:val="en-US" w:eastAsia="zh-CN"/>
        </w:rPr>
        <w:t>Ru ya</w:t>
      </w:r>
      <w:r>
        <w:rPr>
          <w:rFonts w:hint="eastAsia" w:ascii="宋体" w:hAnsi="宋体" w:cs="宋体"/>
          <w:b/>
          <w:sz w:val="24"/>
          <w:szCs w:val="24"/>
          <w:vertAlign w:val="superscript"/>
          <w:lang w:val="en-US" w:eastAsia="zh-CN"/>
        </w:rPr>
        <w:t xml:space="preserve">1  </w:t>
      </w:r>
      <w:r>
        <w:rPr>
          <w:rFonts w:hint="eastAsia" w:ascii="宋体" w:hAnsi="宋体" w:cs="宋体"/>
          <w:b/>
          <w:sz w:val="24"/>
          <w:szCs w:val="24"/>
          <w:lang w:val="en-US" w:eastAsia="zh-CN"/>
        </w:rPr>
        <w:t>YulongBai</w:t>
      </w:r>
      <w:r>
        <w:rPr>
          <w:rFonts w:hint="eastAsia" w:ascii="宋体" w:hAnsi="宋体" w:cs="宋体"/>
          <w:b/>
          <w:sz w:val="24"/>
          <w:szCs w:val="24"/>
          <w:vertAlign w:val="superscript"/>
          <w:lang w:val="en-US" w:eastAsia="zh-CN"/>
        </w:rPr>
        <w:t>2</w:t>
      </w:r>
    </w:p>
    <w:p w14:paraId="30E3C735">
      <w:pPr>
        <w:rPr>
          <w:rFonts w:hint="default" w:ascii="宋体" w:hAnsi="宋体" w:cs="宋体"/>
          <w:b/>
          <w:sz w:val="24"/>
          <w:szCs w:val="24"/>
          <w:vertAlign w:val="superscript"/>
          <w:lang w:val="en-US" w:eastAsia="zh-CN"/>
        </w:rPr>
      </w:pPr>
    </w:p>
    <w:p w14:paraId="694C4EB6">
      <w:pPr>
        <w:keepNext w:val="0"/>
        <w:keepLines w:val="0"/>
        <w:pageBreakBefore w:val="0"/>
        <w:numPr>
          <w:ilvl w:val="0"/>
          <w:numId w:val="1"/>
        </w:numPr>
        <w:kinsoku/>
        <w:wordWrap/>
        <w:overflowPunct/>
        <w:topLinePunct w:val="0"/>
        <w:autoSpaceDE/>
        <w:autoSpaceDN/>
        <w:bidi w:val="0"/>
        <w:adjustRightInd/>
        <w:snapToGrid/>
        <w:spacing w:line="240" w:lineRule="auto"/>
        <w:jc w:val="left"/>
        <w:textAlignment w:val="auto"/>
        <w:rPr>
          <w:rFonts w:hint="default" w:ascii="宋体" w:hAnsi="宋体" w:cs="宋体"/>
          <w:b/>
          <w:sz w:val="24"/>
          <w:szCs w:val="24"/>
          <w:vertAlign w:val="baseline"/>
          <w:lang w:val="en-US" w:eastAsia="zh-CN"/>
        </w:rPr>
      </w:pPr>
      <w:r>
        <w:rPr>
          <w:rFonts w:hint="eastAsia" w:ascii="宋体" w:hAnsi="宋体" w:cs="宋体"/>
          <w:b/>
          <w:sz w:val="24"/>
          <w:szCs w:val="24"/>
          <w:vertAlign w:val="baseline"/>
          <w:lang w:val="en-US" w:eastAsia="zh-CN"/>
        </w:rPr>
        <w:t>Intensive Rehabilitation Department, Shanghai Third Rehabilitation Hospital</w:t>
      </w:r>
    </w:p>
    <w:p w14:paraId="404C53E9">
      <w:pPr>
        <w:pStyle w:val="4"/>
        <w:keepNext w:val="0"/>
        <w:keepLines w:val="0"/>
        <w:pageBreakBefore w:val="0"/>
        <w:widowControl/>
        <w:numPr>
          <w:ilvl w:val="0"/>
          <w:numId w:val="1"/>
        </w:numPr>
        <w:suppressLineNumbers w:val="0"/>
        <w:shd w:val="clear" w:fill="FFFFFF"/>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eastAsia" w:ascii="宋体" w:hAnsi="宋体" w:cs="宋体"/>
          <w:b/>
          <w:sz w:val="24"/>
          <w:szCs w:val="24"/>
          <w:vertAlign w:val="baseline"/>
          <w:lang w:val="en-US" w:eastAsia="zh-CN"/>
        </w:rPr>
      </w:pPr>
      <w:r>
        <w:rPr>
          <w:rFonts w:hint="eastAsia" w:ascii="宋体" w:hAnsi="宋体" w:cs="宋体"/>
          <w:b/>
          <w:sz w:val="24"/>
          <w:szCs w:val="24"/>
          <w:vertAlign w:val="baseline"/>
          <w:lang w:val="en-US" w:eastAsia="zh-CN"/>
        </w:rPr>
        <w:t>Department of Rehabilitation Medicine, Huashan Hospital Affiliated to Fudan University, Shanghai</w:t>
      </w:r>
    </w:p>
    <w:p w14:paraId="5EE698EC">
      <w:pPr>
        <w:rPr>
          <w:rFonts w:hint="default"/>
          <w:lang w:val="en-US" w:eastAsia="zh-CN"/>
        </w:rPr>
      </w:pPr>
      <w:r>
        <w:rPr>
          <w:rFonts w:hint="eastAsia" w:ascii="宋体" w:hAnsi="宋体" w:cs="宋体"/>
          <w:b/>
          <w:sz w:val="24"/>
          <w:szCs w:val="24"/>
          <w:vertAlign w:val="baseline"/>
          <w:lang w:val="en-US" w:eastAsia="zh-CN"/>
        </w:rPr>
        <w:t>*Co-first author</w:t>
      </w:r>
    </w:p>
    <w:p w14:paraId="419E0332">
      <w:pPr>
        <w:pStyle w:val="4"/>
        <w:keepNext w:val="0"/>
        <w:keepLines w:val="0"/>
        <w:pageBreakBefore w:val="0"/>
        <w:widowControl/>
        <w:numPr>
          <w:ilvl w:val="0"/>
          <w:numId w:val="0"/>
        </w:numPr>
        <w:suppressLineNumbers w:val="0"/>
        <w:shd w:val="clear" w:fill="FFFFFF"/>
        <w:kinsoku/>
        <w:wordWrap/>
        <w:overflowPunct/>
        <w:topLinePunct w:val="0"/>
        <w:autoSpaceDN/>
        <w:bidi w:val="0"/>
        <w:spacing w:before="384" w:beforeAutospacing="0" w:after="192" w:afterAutospacing="0" w:line="240" w:lineRule="auto"/>
        <w:ind w:leftChars="0" w:right="0" w:rightChars="0"/>
        <w:jc w:val="left"/>
        <w:outlineLvl w:val="2"/>
        <w:rPr>
          <w:rFonts w:hint="eastAsia" w:ascii="宋体" w:hAnsi="宋体" w:eastAsia="宋体" w:cs="宋体"/>
          <w:b/>
          <w:bCs/>
          <w:caps w:val="0"/>
          <w:color w:val="0F1115"/>
          <w:spacing w:val="0"/>
          <w:sz w:val="24"/>
          <w:szCs w:val="24"/>
          <w:lang w:eastAsia="zh-CN"/>
        </w:rPr>
      </w:pPr>
      <w:r>
        <w:rPr>
          <w:rFonts w:hint="eastAsia" w:ascii="宋体" w:hAnsi="宋体" w:eastAsia="宋体" w:cs="宋体"/>
          <w:b/>
          <w:bCs/>
          <w:caps w:val="0"/>
          <w:color w:val="0F1115"/>
          <w:spacing w:val="0"/>
          <w:sz w:val="24"/>
          <w:szCs w:val="24"/>
          <w:shd w:val="clear" w:fill="FFFFFF"/>
        </w:rPr>
        <w:t>Abstract</w:t>
      </w:r>
    </w:p>
    <w:p w14:paraId="52B375FF">
      <w:pPr>
        <w:keepLines w:val="0"/>
        <w:pageBreakBefore w:val="0"/>
        <w:kinsoku/>
        <w:wordWrap/>
        <w:overflowPunct/>
        <w:topLinePunct w:val="0"/>
        <w:autoSpaceDN/>
        <w:bidi w:val="0"/>
        <w:spacing w:line="240" w:lineRule="auto"/>
        <w:ind w:left="0" w:leftChars="0"/>
        <w:jc w:val="left"/>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背景：脑卒中所致的手部功能障碍会显著影响患者的生活质量。虽然镜像疗法和充气手套训练在上肢康复治疗中显示出良好效果，但其联合疗效及潜在神经机制仍不明确。</w:t>
      </w:r>
    </w:p>
    <w:p w14:paraId="575A9327">
      <w:pPr>
        <w:keepLines w:val="0"/>
        <w:pageBreakBefore w:val="0"/>
        <w:kinsoku/>
        <w:wordWrap/>
        <w:overflowPunct/>
        <w:topLinePunct w:val="0"/>
        <w:autoSpaceDN/>
        <w:bidi w:val="0"/>
        <w:spacing w:line="240" w:lineRule="auto"/>
        <w:ind w:left="0" w:leftChars="0"/>
        <w:jc w:val="left"/>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目的 本研究旨在探讨镜像疗法联合智能气动柔性手套训练对脑卒中后手部功能障碍的康复疗效及其神经生理学机制。</w:t>
      </w:r>
    </w:p>
    <w:p w14:paraId="5D9030F1">
      <w:pPr>
        <w:keepLines w:val="0"/>
        <w:pageBreakBefore w:val="0"/>
        <w:kinsoku/>
        <w:wordWrap/>
        <w:overflowPunct/>
        <w:topLinePunct w:val="0"/>
        <w:autoSpaceDN/>
        <w:bidi w:val="0"/>
        <w:spacing w:line="240" w:lineRule="auto"/>
        <w:ind w:left="0" w:leftChars="0"/>
        <w:jc w:val="left"/>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方法：将80例存在手部功能障碍的脑卒中患者随机分为四个等量组（每组n=20）：镜像疗法组、充气手套组、联合干预组以及常规康复对照组。所有干预措施均每次持续20分钟，每周进行五次，持续六周。临床疗效采用Fugl-Meyer上肢评估量表（FMA）、动作研究臂测试（ARAT）和Barthel指数（BI）进行评估；同时采用功能性近红外光谱（fNIRS）技术，通过测量前额叶皮层（PFC）、背外侧前额叶皮层（DLPFC）、辅助运动区（SMA）及感觉运动皮层（SAC）等感兴趣区域的氧合血红蛋白（HbO）浓度变化来监测大脑皮层激活情况</w:t>
      </w:r>
      <w:r>
        <w:rPr>
          <w:rFonts w:hint="eastAsia" w:ascii="宋体" w:hAnsi="宋体" w:cs="宋体"/>
          <w:b/>
          <w:bCs/>
          <w:i w:val="0"/>
          <w:iCs w:val="0"/>
          <w:caps w:val="0"/>
          <w:color w:val="0F1115"/>
          <w:spacing w:val="0"/>
          <w:sz w:val="24"/>
          <w:szCs w:val="24"/>
          <w:shd w:val="clear" w:fill="FFFFFF"/>
          <w:lang w:val="en-US" w:eastAsia="zh-CN"/>
        </w:rPr>
        <w:t>及脑网络功能连接情况</w:t>
      </w:r>
      <w:r>
        <w:rPr>
          <w:rFonts w:hint="eastAsia" w:ascii="宋体" w:hAnsi="宋体" w:eastAsia="宋体" w:cs="宋体"/>
          <w:b/>
          <w:bCs/>
          <w:i w:val="0"/>
          <w:iCs w:val="0"/>
          <w:caps w:val="0"/>
          <w:color w:val="0F1115"/>
          <w:spacing w:val="0"/>
          <w:sz w:val="24"/>
          <w:szCs w:val="24"/>
          <w:shd w:val="clear" w:fill="FFFFFF"/>
        </w:rPr>
        <w:t>。</w:t>
      </w:r>
    </w:p>
    <w:p w14:paraId="273FB7A4">
      <w:pPr>
        <w:keepLines w:val="0"/>
        <w:pageBreakBefore w:val="0"/>
        <w:kinsoku/>
        <w:wordWrap/>
        <w:overflowPunct/>
        <w:topLinePunct w:val="0"/>
        <w:autoSpaceDN/>
        <w:bidi w:val="0"/>
        <w:spacing w:line="240" w:lineRule="auto"/>
        <w:ind w:left="0" w:leftChars="0"/>
        <w:jc w:val="left"/>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结果：所有四组受试者在干预后均表现出 FMA 、 ARAT 及BI评分的显著改善（均P&lt;0.01）。联合治疗组在 FMA 评分方面显著优于对照组和手套治疗组，并在 ARAT 表现上超越其他所有组别（均P&lt;0.05）。值得注意的是，在远端 FMA（F=8.13，P=0.006）和 ARAT（F=4.912，P=0.03）方面，镜像疗法与手套疗法之间存在显著交互效应，表明二者对精细运动功能具有协同作用。功能性近红外光谱（fNIRS）数据显示，与对照组相比，联合治疗组在左侧前额叶皮层、 DLPFC 区及感觉运动皮层的血红蛋白氧合（HbO）水平升高幅度显著更大（P&lt;0.05）。</w:t>
      </w:r>
      <w:r>
        <w:rPr>
          <w:rFonts w:hint="eastAsia" w:ascii="宋体" w:hAnsi="宋体" w:eastAsia="宋体" w:cs="宋体"/>
          <w:b/>
          <w:bCs/>
          <w:i w:val="0"/>
          <w:iCs w:val="0"/>
          <w:caps w:val="0"/>
          <w:color w:val="0000FF"/>
          <w:spacing w:val="0"/>
          <w:sz w:val="24"/>
          <w:szCs w:val="24"/>
          <w:shd w:val="clear" w:fill="FFFFFF"/>
        </w:rPr>
        <w:t>网络分析进一步表明，联合疗法促使大脑从代偿性的半球间连接扩张转向高效的神经编码模式，其特征为半球间连接变化与远端 FMA 改善之间存在显著负相关（rₛ =-0.71，P=0.048）。</w:t>
      </w:r>
    </w:p>
    <w:p w14:paraId="3D16B26B">
      <w:pPr>
        <w:keepLines w:val="0"/>
        <w:pageBreakBefore w:val="0"/>
        <w:kinsoku/>
        <w:wordWrap/>
        <w:overflowPunct/>
        <w:topLinePunct w:val="0"/>
        <w:autoSpaceDN/>
        <w:bidi w:val="0"/>
        <w:spacing w:line="240" w:lineRule="auto"/>
        <w:ind w:left="0" w:leftChars="0"/>
        <w:jc w:val="left"/>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结论：镜像疗法联合气动手套训练通过协同效应，能显著改善上肢运动功能，尤其对手部远端技能具有显著效果。这一疗效基于关键运动相关脑区皮质激活增强以及大脑半球间连接的优化调节作用，证实了该方案作为卒中后手部功能障碍优化康复策略的有效性。</w:t>
      </w:r>
    </w:p>
    <w:p w14:paraId="093253E2">
      <w:pPr>
        <w:keepNext w:val="0"/>
        <w:keepLines w:val="0"/>
        <w:pageBreakBefore w:val="0"/>
        <w:widowControl/>
        <w:suppressLineNumbers w:val="0"/>
        <w:kinsoku/>
        <w:wordWrap/>
        <w:overflowPunct/>
        <w:topLinePunct w:val="0"/>
        <w:autoSpaceDN/>
        <w:bidi w:val="0"/>
        <w:spacing w:line="240" w:lineRule="auto"/>
        <w:ind w:left="0" w:leftChars="0"/>
        <w:jc w:val="left"/>
        <w:rPr>
          <w:rFonts w:hint="eastAsia" w:ascii="宋体" w:hAnsi="宋体" w:eastAsia="宋体" w:cs="宋体"/>
          <w:color w:val="C00000"/>
          <w:sz w:val="24"/>
          <w:szCs w:val="24"/>
        </w:rPr>
      </w:pPr>
      <w:r>
        <w:rPr>
          <w:rFonts w:hint="eastAsia" w:ascii="宋体" w:hAnsi="宋体" w:eastAsia="宋体" w:cs="宋体"/>
          <w:b/>
          <w:bCs/>
          <w:i w:val="0"/>
          <w:iCs w:val="0"/>
          <w:caps w:val="0"/>
          <w:color w:val="0F1115"/>
          <w:spacing w:val="0"/>
          <w:sz w:val="24"/>
          <w:szCs w:val="24"/>
          <w:shd w:val="clear" w:fill="FFFFFF"/>
        </w:rPr>
        <w:t>关键词：镜像疗法；气动手套训练；脑卒中；手部功能障碍；功能性近红外光谱分析</w:t>
      </w:r>
    </w:p>
    <w:p w14:paraId="6AC8C790">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 xml:space="preserve"> </w:t>
      </w:r>
    </w:p>
    <w:p w14:paraId="43428DD7">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p>
    <w:p w14:paraId="49D9A256">
      <w:pPr>
        <w:pStyle w:val="10"/>
        <w:keepNext w:val="0"/>
        <w:keepLines w:val="0"/>
        <w:widowControl/>
        <w:suppressLineNumbers w:val="0"/>
        <w:shd w:val="clear" w:fill="FFFFFF"/>
        <w:spacing w:before="192" w:beforeAutospacing="0" w:after="192" w:afterAutospacing="0"/>
        <w:ind w:left="0" w:right="0" w:firstLine="0"/>
        <w:jc w:val="center"/>
        <w:rPr>
          <w:rFonts w:hint="default" w:ascii="Times New Roman" w:hAnsi="Times New Roman" w:eastAsia="Segoe UI" w:cs="Times New Roman"/>
          <w:b/>
          <w:bCs/>
          <w:i w:val="0"/>
          <w:iCs w:val="0"/>
          <w:caps w:val="0"/>
          <w:color w:val="0F1115"/>
          <w:spacing w:val="0"/>
          <w:sz w:val="24"/>
          <w:szCs w:val="24"/>
          <w:shd w:val="clear" w:fill="FFFFFF"/>
        </w:rPr>
      </w:pPr>
      <w:r>
        <w:rPr>
          <w:rFonts w:hint="default" w:ascii="Times New Roman" w:hAnsi="Times New Roman" w:eastAsia="Segoe UI" w:cs="Times New Roman"/>
          <w:b/>
          <w:bCs/>
          <w:i w:val="0"/>
          <w:iCs w:val="0"/>
          <w:caps w:val="0"/>
          <w:color w:val="0F1115"/>
          <w:spacing w:val="0"/>
          <w:sz w:val="24"/>
          <w:szCs w:val="24"/>
          <w:shd w:val="clear" w:fill="FFFFFF"/>
        </w:rPr>
        <w:t>Synergistic Effects of Mirror Therapy and Pneumatic Glove Training on Distal Hand Function After Stroke: A fNIRS-Based Randomized StudyAbstract</w:t>
      </w:r>
    </w:p>
    <w:p w14:paraId="27D47D25">
      <w:pPr>
        <w:pStyle w:val="4"/>
        <w:keepNext w:val="0"/>
        <w:keepLines w:val="0"/>
        <w:pageBreakBefore w:val="0"/>
        <w:widowControl/>
        <w:suppressLineNumbers w:val="0"/>
        <w:shd w:val="clear" w:fill="FFFFFF"/>
        <w:kinsoku/>
        <w:wordWrap/>
        <w:overflowPunct/>
        <w:topLinePunct w:val="0"/>
        <w:autoSpaceDN/>
        <w:bidi w:val="0"/>
        <w:spacing w:before="384" w:beforeAutospacing="0" w:after="192" w:afterAutospacing="0" w:line="240" w:lineRule="auto"/>
        <w:ind w:left="0" w:leftChars="0" w:right="0" w:firstLine="0"/>
        <w:jc w:val="center"/>
        <w:rPr>
          <w:rFonts w:hint="eastAsia" w:ascii="宋体" w:hAnsi="宋体" w:cs="宋体"/>
          <w:b/>
          <w:sz w:val="24"/>
          <w:szCs w:val="24"/>
          <w:vertAlign w:val="superscript"/>
          <w:lang w:val="en-US" w:eastAsia="zh-CN"/>
        </w:rPr>
      </w:pPr>
      <w:r>
        <w:rPr>
          <w:rFonts w:hint="eastAsia" w:ascii="宋体" w:hAnsi="宋体" w:cs="宋体"/>
          <w:b/>
          <w:sz w:val="24"/>
          <w:szCs w:val="24"/>
          <w:lang w:val="en-US" w:eastAsia="zh-CN"/>
        </w:rPr>
        <w:t>Cuifeng Wen</w:t>
      </w:r>
      <w:r>
        <w:rPr>
          <w:rFonts w:hint="eastAsia" w:ascii="宋体" w:hAnsi="宋体" w:cs="宋体"/>
          <w:b/>
          <w:sz w:val="24"/>
          <w:szCs w:val="24"/>
          <w:vertAlign w:val="superscript"/>
          <w:lang w:val="en-US" w:eastAsia="zh-CN"/>
        </w:rPr>
        <w:t>1</w:t>
      </w:r>
      <w:r>
        <w:rPr>
          <w:rFonts w:hint="eastAsia" w:ascii="宋体" w:hAnsi="宋体" w:cs="宋体"/>
          <w:b/>
          <w:sz w:val="24"/>
          <w:szCs w:val="24"/>
          <w:lang w:val="en-US" w:eastAsia="zh-CN"/>
        </w:rPr>
        <w:t xml:space="preserve"> Tianyu Ma</w:t>
      </w:r>
      <w:r>
        <w:rPr>
          <w:rFonts w:hint="eastAsia" w:ascii="宋体" w:hAnsi="宋体" w:cs="宋体"/>
          <w:b/>
          <w:sz w:val="24"/>
          <w:szCs w:val="24"/>
          <w:vertAlign w:val="superscript"/>
          <w:lang w:val="en-US" w:eastAsia="zh-CN"/>
        </w:rPr>
        <w:t>2*</w:t>
      </w:r>
      <w:r>
        <w:rPr>
          <w:rFonts w:hint="eastAsia" w:ascii="宋体" w:hAnsi="宋体" w:cs="宋体"/>
          <w:b/>
          <w:sz w:val="24"/>
          <w:szCs w:val="24"/>
          <w:lang w:val="en-US" w:eastAsia="zh-CN"/>
        </w:rPr>
        <w:t xml:space="preserve">   Hao Huang</w:t>
      </w:r>
      <w:r>
        <w:rPr>
          <w:rFonts w:hint="eastAsia" w:ascii="宋体" w:hAnsi="宋体" w:cs="宋体"/>
          <w:b/>
          <w:sz w:val="24"/>
          <w:szCs w:val="24"/>
          <w:vertAlign w:val="superscript"/>
          <w:lang w:val="en-US" w:eastAsia="zh-CN"/>
        </w:rPr>
        <w:t xml:space="preserve">1  </w:t>
      </w:r>
      <w:r>
        <w:rPr>
          <w:rFonts w:hint="eastAsia" w:ascii="宋体" w:hAnsi="宋体" w:cs="宋体"/>
          <w:b/>
          <w:sz w:val="24"/>
          <w:szCs w:val="24"/>
          <w:lang w:val="en-US" w:eastAsia="zh-CN"/>
        </w:rPr>
        <w:t>Ru ya</w:t>
      </w:r>
      <w:r>
        <w:rPr>
          <w:rFonts w:hint="eastAsia" w:ascii="宋体" w:hAnsi="宋体" w:cs="宋体"/>
          <w:b/>
          <w:sz w:val="24"/>
          <w:szCs w:val="24"/>
          <w:vertAlign w:val="superscript"/>
          <w:lang w:val="en-US" w:eastAsia="zh-CN"/>
        </w:rPr>
        <w:t xml:space="preserve">1  </w:t>
      </w:r>
      <w:r>
        <w:rPr>
          <w:rFonts w:hint="eastAsia" w:ascii="宋体" w:hAnsi="宋体" w:cs="宋体"/>
          <w:b/>
          <w:sz w:val="24"/>
          <w:szCs w:val="24"/>
          <w:lang w:val="en-US" w:eastAsia="zh-CN"/>
        </w:rPr>
        <w:t>YulongBai</w:t>
      </w:r>
      <w:r>
        <w:rPr>
          <w:rFonts w:hint="eastAsia" w:ascii="宋体" w:hAnsi="宋体" w:cs="宋体"/>
          <w:b/>
          <w:sz w:val="24"/>
          <w:szCs w:val="24"/>
          <w:vertAlign w:val="superscript"/>
          <w:lang w:val="en-US" w:eastAsia="zh-CN"/>
        </w:rPr>
        <w:t>2</w:t>
      </w:r>
    </w:p>
    <w:p w14:paraId="3C14AAB0">
      <w:pPr>
        <w:rPr>
          <w:rFonts w:hint="default" w:ascii="宋体" w:hAnsi="宋体" w:cs="宋体"/>
          <w:b/>
          <w:sz w:val="24"/>
          <w:szCs w:val="24"/>
          <w:vertAlign w:val="superscript"/>
          <w:lang w:val="en-US" w:eastAsia="zh-CN"/>
        </w:rPr>
      </w:pPr>
    </w:p>
    <w:p w14:paraId="52810497">
      <w:pPr>
        <w:keepNext w:val="0"/>
        <w:keepLines w:val="0"/>
        <w:pageBreakBefore w:val="0"/>
        <w:numPr>
          <w:ilvl w:val="0"/>
          <w:numId w:val="1"/>
        </w:numPr>
        <w:kinsoku/>
        <w:wordWrap/>
        <w:overflowPunct/>
        <w:topLinePunct w:val="0"/>
        <w:autoSpaceDE/>
        <w:autoSpaceDN/>
        <w:bidi w:val="0"/>
        <w:adjustRightInd/>
        <w:snapToGrid/>
        <w:spacing w:line="240" w:lineRule="auto"/>
        <w:jc w:val="left"/>
        <w:textAlignment w:val="auto"/>
        <w:rPr>
          <w:rFonts w:hint="default" w:ascii="宋体" w:hAnsi="宋体" w:cs="宋体"/>
          <w:b/>
          <w:sz w:val="24"/>
          <w:szCs w:val="24"/>
          <w:vertAlign w:val="baseline"/>
          <w:lang w:val="en-US" w:eastAsia="zh-CN"/>
        </w:rPr>
      </w:pPr>
      <w:r>
        <w:rPr>
          <w:rFonts w:hint="eastAsia" w:ascii="宋体" w:hAnsi="宋体" w:cs="宋体"/>
          <w:b/>
          <w:sz w:val="24"/>
          <w:szCs w:val="24"/>
          <w:vertAlign w:val="baseline"/>
          <w:lang w:val="en-US" w:eastAsia="zh-CN"/>
        </w:rPr>
        <w:t>Intensive Rehabilitation Department, Shanghai Third Rehabilitation Hospital</w:t>
      </w:r>
    </w:p>
    <w:p w14:paraId="25FDDA6D">
      <w:pPr>
        <w:pStyle w:val="4"/>
        <w:keepNext w:val="0"/>
        <w:keepLines w:val="0"/>
        <w:pageBreakBefore w:val="0"/>
        <w:widowControl/>
        <w:numPr>
          <w:ilvl w:val="0"/>
          <w:numId w:val="1"/>
        </w:numPr>
        <w:suppressLineNumbers w:val="0"/>
        <w:shd w:val="clear" w:fill="FFFFFF"/>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eastAsia" w:ascii="宋体" w:hAnsi="宋体" w:cs="宋体"/>
          <w:b/>
          <w:sz w:val="24"/>
          <w:szCs w:val="24"/>
          <w:vertAlign w:val="baseline"/>
          <w:lang w:val="en-US" w:eastAsia="zh-CN"/>
        </w:rPr>
      </w:pPr>
      <w:r>
        <w:rPr>
          <w:rFonts w:hint="eastAsia" w:ascii="宋体" w:hAnsi="宋体" w:cs="宋体"/>
          <w:b/>
          <w:sz w:val="24"/>
          <w:szCs w:val="24"/>
          <w:vertAlign w:val="baseline"/>
          <w:lang w:val="en-US" w:eastAsia="zh-CN"/>
        </w:rPr>
        <w:t>Department of Rehabilitation Medicine, Huashan Hospital Affiliated to Fudan University, Shanghai</w:t>
      </w:r>
    </w:p>
    <w:p w14:paraId="6BC31883">
      <w:pPr>
        <w:rPr>
          <w:rFonts w:hint="default"/>
          <w:lang w:val="en-US" w:eastAsia="zh-CN"/>
        </w:rPr>
      </w:pPr>
      <w:r>
        <w:rPr>
          <w:rFonts w:hint="eastAsia" w:ascii="宋体" w:hAnsi="宋体" w:cs="宋体"/>
          <w:b/>
          <w:sz w:val="24"/>
          <w:szCs w:val="24"/>
          <w:vertAlign w:val="baseline"/>
          <w:lang w:val="en-US" w:eastAsia="zh-CN"/>
        </w:rPr>
        <w:t>*Co-first author</w:t>
      </w:r>
    </w:p>
    <w:p w14:paraId="7AF41507">
      <w:pPr>
        <w:pStyle w:val="4"/>
        <w:keepNext w:val="0"/>
        <w:keepLines w:val="0"/>
        <w:pageBreakBefore w:val="0"/>
        <w:widowControl/>
        <w:numPr>
          <w:ilvl w:val="0"/>
          <w:numId w:val="0"/>
        </w:numPr>
        <w:suppressLineNumbers w:val="0"/>
        <w:shd w:val="clear" w:fill="FFFFFF"/>
        <w:kinsoku/>
        <w:wordWrap/>
        <w:overflowPunct/>
        <w:topLinePunct w:val="0"/>
        <w:autoSpaceDN/>
        <w:bidi w:val="0"/>
        <w:spacing w:before="384" w:beforeAutospacing="0" w:after="192" w:afterAutospacing="0" w:line="240" w:lineRule="auto"/>
        <w:ind w:leftChars="0" w:right="0" w:rightChars="0"/>
        <w:jc w:val="left"/>
        <w:outlineLvl w:val="2"/>
        <w:rPr>
          <w:rFonts w:hint="eastAsia" w:ascii="宋体" w:hAnsi="宋体" w:eastAsia="宋体" w:cs="宋体"/>
          <w:b/>
          <w:bCs/>
          <w:caps w:val="0"/>
          <w:color w:val="0F1115"/>
          <w:spacing w:val="0"/>
          <w:sz w:val="24"/>
          <w:szCs w:val="24"/>
          <w:lang w:eastAsia="zh-CN"/>
        </w:rPr>
      </w:pPr>
      <w:r>
        <w:rPr>
          <w:rFonts w:hint="eastAsia" w:ascii="宋体" w:hAnsi="宋体" w:eastAsia="宋体" w:cs="宋体"/>
          <w:b/>
          <w:bCs/>
          <w:caps w:val="0"/>
          <w:color w:val="0F1115"/>
          <w:spacing w:val="0"/>
          <w:sz w:val="24"/>
          <w:szCs w:val="24"/>
          <w:shd w:val="clear" w:fill="FFFFFF"/>
        </w:rPr>
        <w:t>Abstract</w:t>
      </w:r>
    </w:p>
    <w:p w14:paraId="03DC5BC7">
      <w:pPr>
        <w:pStyle w:val="1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Background</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i w:val="0"/>
          <w:iCs w:val="0"/>
          <w:caps w:val="0"/>
          <w:color w:val="0F1115"/>
          <w:spacing w:val="0"/>
          <w:sz w:val="19"/>
          <w:szCs w:val="19"/>
          <w:shd w:val="clear" w:fill="FFFFFF"/>
        </w:rPr>
        <w:t>Stroke-induced hand dysfunction severely impacts patients' quality of life. While mirror therapy and pneumatic glove training have shown promise in upper limb rehabilitation, their combined effects and underlying neural mechanisms remain poorly understood.</w:t>
      </w:r>
    </w:p>
    <w:p w14:paraId="583F8B84">
      <w:pPr>
        <w:pStyle w:val="1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Objective</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i w:val="0"/>
          <w:iCs w:val="0"/>
          <w:caps w:val="0"/>
          <w:color w:val="0F1115"/>
          <w:spacing w:val="0"/>
          <w:sz w:val="19"/>
          <w:szCs w:val="19"/>
          <w:shd w:val="clear" w:fill="FFFFFF"/>
        </w:rPr>
        <w:t>This study aimed to investigate the rehabilitative efficacy and neurophysiological mechanisms of mirror therapy combined with intelligent pneumatic flexible glove training for post-stroke hand dysfunction.</w:t>
      </w:r>
    </w:p>
    <w:p w14:paraId="6EC0853F">
      <w:pPr>
        <w:pStyle w:val="1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b w:val="0"/>
          <w:bCs w:val="0"/>
          <w:i w:val="0"/>
          <w:iCs w:val="0"/>
          <w:caps w:val="0"/>
          <w:color w:val="C00000"/>
          <w:spacing w:val="0"/>
          <w:sz w:val="19"/>
          <w:szCs w:val="19"/>
          <w:shd w:val="clear" w:fill="FFFFFF"/>
        </w:rPr>
      </w:pPr>
      <w:r>
        <w:rPr>
          <w:rFonts w:hint="default" w:ascii="Segoe UI" w:hAnsi="Segoe UI" w:eastAsia="Segoe UI" w:cs="Segoe UI"/>
          <w:b/>
          <w:bCs/>
          <w:i w:val="0"/>
          <w:iCs w:val="0"/>
          <w:caps w:val="0"/>
          <w:color w:val="0F1115"/>
          <w:spacing w:val="0"/>
          <w:sz w:val="19"/>
          <w:szCs w:val="19"/>
          <w:shd w:val="clear" w:fill="FFFFFF"/>
        </w:rPr>
        <w:t>Methods</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i w:val="0"/>
          <w:iCs w:val="0"/>
          <w:caps w:val="0"/>
          <w:color w:val="0F1115"/>
          <w:spacing w:val="0"/>
          <w:sz w:val="19"/>
          <w:szCs w:val="19"/>
          <w:shd w:val="clear" w:fill="FFFFFF"/>
        </w:rPr>
        <w:t>Eighty stroke patients with hand dysfunction were randomly allocated into four equal groups (n=20 each): mirror therapy, pneumatic glove, combined intervention, and conventional rehabilitation control. All interventions</w:t>
      </w:r>
      <w:r>
        <w:rPr>
          <w:rFonts w:hint="default" w:ascii="Segoe UI" w:hAnsi="Segoe UI" w:eastAsia="Segoe UI" w:cs="Segoe UI"/>
          <w:b w:val="0"/>
          <w:bCs w:val="0"/>
          <w:i w:val="0"/>
          <w:iCs w:val="0"/>
          <w:caps w:val="0"/>
          <w:color w:val="0F1115"/>
          <w:spacing w:val="0"/>
          <w:sz w:val="19"/>
          <w:szCs w:val="19"/>
          <w:shd w:val="clear" w:fill="FFFFFF"/>
        </w:rPr>
        <w:t xml:space="preserve"> were administered for 20 minutes per session, five times weekly, over six weeks. Clinical outcomes were assessed using the Fugl-Meyer Assessment for Upper Extremity (FMA), Action Research Arm Test (ARAT), and Barthel Index (BI).</w:t>
      </w:r>
      <w:r>
        <w:rPr>
          <w:rFonts w:ascii="Segoe UI" w:hAnsi="Segoe UI" w:eastAsia="Segoe UI" w:cs="Segoe UI"/>
          <w:b w:val="0"/>
          <w:bCs w:val="0"/>
          <w:i w:val="0"/>
          <w:iCs w:val="0"/>
          <w:caps w:val="0"/>
          <w:color w:val="0F1115"/>
          <w:spacing w:val="0"/>
          <w:sz w:val="19"/>
          <w:szCs w:val="19"/>
          <w:shd w:val="clear" w:fill="FFFFFF"/>
        </w:rPr>
        <w:t>Concurrently, functional near-infrared spectroscopy (fNIRS) was employed to monitor both cortical activation and brain network connectivity by measuring task-related changes in oxy-hemoglobin (HbO) concentration within regions of interest, including the prefrontal cortex (PFC), dorsolateral prefrontal cortex (DLPFC), supplementary motor area (SMA), and sensorimotor cortex (SMC).</w:t>
      </w:r>
      <w:r>
        <w:rPr>
          <w:rFonts w:hint="default" w:ascii="Segoe UI" w:hAnsi="Segoe UI" w:eastAsia="Segoe UI" w:cs="Segoe UI"/>
          <w:b w:val="0"/>
          <w:bCs w:val="0"/>
          <w:i w:val="0"/>
          <w:iCs w:val="0"/>
          <w:caps w:val="0"/>
          <w:color w:val="C00000"/>
          <w:spacing w:val="0"/>
          <w:sz w:val="19"/>
          <w:szCs w:val="19"/>
          <w:shd w:val="clear" w:fill="FFFFFF"/>
        </w:rPr>
        <w:t xml:space="preserve"> </w:t>
      </w:r>
    </w:p>
    <w:p w14:paraId="50CEE606">
      <w:pPr>
        <w:pStyle w:val="1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Results</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i w:val="0"/>
          <w:iCs w:val="0"/>
          <w:caps w:val="0"/>
          <w:color w:val="0F1115"/>
          <w:spacing w:val="0"/>
          <w:sz w:val="19"/>
          <w:szCs w:val="19"/>
          <w:shd w:val="clear" w:fill="FFFFFF"/>
        </w:rPr>
        <w:t>All four groups demonstrated significant improvements in FMA, ARAT, and BI scores post-intervention (all P &lt; 0.01). The combined group significantly outperformed both the control and glove groups in FMA scores, and surpassed all other groups in ARAT performance (all P &lt; 0.05). Notably, a significant interaction effect between mirror and glove therapies was identified for distal FMA (F = 8.13, P = 0.006) and ARAT (F = 4.912, P = 0.03), indicating a synergistic effect on fine motor function. fNIRS data revealed that the combined group elicited significantly greater HbO increases in the left PFC, DLPFC, and sensorimotor cortices compared to controls (P &lt; 0.05). Network analysis further demonstrated that the combined therapy promoted a shift from compensatory inter-hemispheric expansion to efficient neural encoding, characterized by a significant negative correlation between inter-hemispheric connectivity changes and distal FMA improvement (rₛ = -0.71, P = 0.048).</w:t>
      </w:r>
    </w:p>
    <w:p w14:paraId="4E466EF0">
      <w:pPr>
        <w:pStyle w:val="1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Conclusion</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i w:val="0"/>
          <w:iCs w:val="0"/>
          <w:caps w:val="0"/>
          <w:color w:val="0F1115"/>
          <w:spacing w:val="0"/>
          <w:sz w:val="19"/>
          <w:szCs w:val="19"/>
          <w:shd w:val="clear" w:fill="FFFFFF"/>
        </w:rPr>
        <w:t>Mirror therapy combined with pneumatic glove training produces superior improvements in upper limb motor function, particularly for distal hand skills, through a synergistic effect. This benefit is underpinned by enhanced cortical activation in key motor-related areas and a pruning effect on inter-hemispheric connectivity, supporting its role as an optimized rehabilitation strategy for post-stroke hand dysfunction.</w:t>
      </w:r>
    </w:p>
    <w:p w14:paraId="1EB70000">
      <w:pPr>
        <w:pStyle w:val="1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Keywords:</w:t>
      </w:r>
      <w:r>
        <w:rPr>
          <w:rFonts w:hint="default" w:ascii="Segoe UI" w:hAnsi="Segoe UI" w:eastAsia="Segoe UI" w:cs="Segoe UI"/>
          <w:i w:val="0"/>
          <w:iCs w:val="0"/>
          <w:caps w:val="0"/>
          <w:color w:val="0F1115"/>
          <w:spacing w:val="0"/>
          <w:sz w:val="19"/>
          <w:szCs w:val="19"/>
          <w:shd w:val="clear" w:fill="FFFFFF"/>
        </w:rPr>
        <w:t> Mirror therapy; Pneumatic glove training; Stroke; Hand dysfunction; Functional near-infrared spectroscopy</w:t>
      </w:r>
    </w:p>
    <w:p w14:paraId="2B816C77">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p>
    <w:p w14:paraId="42BB334D">
      <w:pPr>
        <w:pStyle w:val="4"/>
        <w:keepNext w:val="0"/>
        <w:keepLines w:val="0"/>
        <w:pageBreakBefore w:val="0"/>
        <w:widowControl/>
        <w:suppressLineNumbers w:val="0"/>
        <w:shd w:val="clear" w:fill="FFFFFF"/>
        <w:kinsoku/>
        <w:wordWrap/>
        <w:overflowPunct/>
        <w:topLinePunct w:val="0"/>
        <w:autoSpaceDN/>
        <w:bidi w:val="0"/>
        <w:spacing w:before="384" w:beforeAutospacing="0" w:after="192" w:afterAutospacing="0" w:line="240" w:lineRule="auto"/>
        <w:ind w:left="0" w:leftChars="0" w:right="0" w:firstLine="0"/>
        <w:jc w:val="left"/>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Introduction</w:t>
      </w:r>
    </w:p>
    <w:p w14:paraId="36ABC00C">
      <w:pPr>
        <w:keepLines w:val="0"/>
        <w:pageBreakBefore w:val="0"/>
        <w:kinsoku/>
        <w:wordWrap/>
        <w:overflowPunct/>
        <w:topLinePunct w:val="0"/>
        <w:autoSpaceDE w:val="0"/>
        <w:autoSpaceDN/>
        <w:bidi w:val="0"/>
        <w:spacing w:before="480" w:after="120" w:line="240" w:lineRule="auto"/>
        <w:ind w:left="0" w:leftChars="0"/>
        <w:jc w:val="left"/>
        <w:outlineLvl w:val="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脑卒中（Stroke）是全球范围内导致死亡和长期残疾的首要病因，对社会经济和公共卫生系统构成严峻挑战[1,2]。世界卫生组织数据显示，每年约1500万人发生脑卒中，其中约80%的幸存者遗留不同程度的功能障碍[3]，50%～60%的患者在慢性期仍持续存在上肢及手功能障碍[4]。手部作为执行精细操作和复杂任务的关键器官，其功能受损对患者的日常生活活动能力、生活质量及社会参与度造成毁灭性影响[5]。因此，有效改善手功能是脑卒中康复的核心目标之一。</w:t>
      </w:r>
    </w:p>
    <w:p w14:paraId="5E3F5E7F">
      <w:pPr>
        <w:keepLines w:val="0"/>
        <w:pageBreakBefore w:val="0"/>
        <w:kinsoku/>
        <w:wordWrap/>
        <w:overflowPunct/>
        <w:topLinePunct w:val="0"/>
        <w:autoSpaceDE w:val="0"/>
        <w:autoSpaceDN/>
        <w:bidi w:val="0"/>
        <w:spacing w:before="480" w:after="120" w:line="240" w:lineRule="auto"/>
        <w:ind w:left="0" w:leftChars="0"/>
        <w:jc w:val="left"/>
        <w:outlineLvl w:val="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镜像疗法（Mirror Therapy, MT）作为一种基于视觉反馈和神经可塑性的康复技术，通过健侧肢体运动镜像激活镜像神经元系统、强化视觉-感觉运动整合、调节半球间抑制，已在脑卒中后运动功能恢复中显示出明确疗效[8,11,12]。近年来，智能气动式柔性手套（Intelligent Pneumatic Glove, IPG）作为机器人辅助康复的代表性技术，运用柔软材料与气压驱动方式，能够为严重功能障碍患者提供符合生理特征的运动辅助，有效解决运动执行难题[30,32]。在此基础上，研究者开始探索MT与IPG的联合干预策略，初步临床研究表明，二者联合相较于单一疗法能更显著提升患者手部灵巧度（如积木障碍盒测试评分）[41]，其协同机制被认为涉及视觉反馈与本体感觉输入的双通道强化，以及运动执行与动作观察的同步激活[32,33]。</w:t>
      </w:r>
    </w:p>
    <w:p w14:paraId="217CB680">
      <w:pPr>
        <w:keepLines w:val="0"/>
        <w:pageBreakBefore w:val="0"/>
        <w:kinsoku/>
        <w:wordWrap/>
        <w:overflowPunct/>
        <w:topLinePunct w:val="0"/>
        <w:autoSpaceDE w:val="0"/>
        <w:autoSpaceDN/>
        <w:bidi w:val="0"/>
        <w:spacing w:before="480" w:after="120" w:line="240" w:lineRule="auto"/>
        <w:ind w:left="0" w:leftChars="0"/>
        <w:jc w:val="left"/>
        <w:outlineLvl w:val="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然而，当前MT与IPG联合干预领域仍处于初步探索阶段，存在若干亟待解决的核心科学问题：（1）</w:t>
      </w:r>
      <w:r>
        <w:rPr>
          <w:rFonts w:hint="eastAsia" w:ascii="宋体" w:hAnsi="宋体" w:eastAsia="宋体" w:cs="宋体"/>
          <w:b/>
          <w:bCs/>
          <w:i w:val="0"/>
          <w:iCs w:val="0"/>
          <w:caps w:val="0"/>
          <w:color w:val="0F1115"/>
          <w:spacing w:val="0"/>
          <w:sz w:val="24"/>
          <w:szCs w:val="24"/>
          <w:shd w:val="clear" w:fill="FFFFFF"/>
        </w:rPr>
        <w:t>机制不清</w:t>
      </w:r>
      <w:r>
        <w:rPr>
          <w:rFonts w:hint="eastAsia" w:ascii="宋体" w:hAnsi="宋体" w:eastAsia="宋体" w:cs="宋体"/>
          <w:i w:val="0"/>
          <w:iCs w:val="0"/>
          <w:caps w:val="0"/>
          <w:color w:val="0F1115"/>
          <w:spacing w:val="0"/>
          <w:sz w:val="24"/>
          <w:szCs w:val="24"/>
          <w:shd w:val="clear" w:fill="FFFFFF"/>
        </w:rPr>
        <w:t>——两种干预方式作用于不同神经通路的具体互补与协同机制尚未明确，联合干预对大脑半球间抑制和皮质兴奋性调节的神经生理学证据匮乏[3,27]；（2）</w:t>
      </w:r>
      <w:r>
        <w:rPr>
          <w:rFonts w:hint="eastAsia" w:ascii="宋体" w:hAnsi="宋体" w:eastAsia="宋体" w:cs="宋体"/>
          <w:b/>
          <w:bCs/>
          <w:i w:val="0"/>
          <w:iCs w:val="0"/>
          <w:caps w:val="0"/>
          <w:color w:val="0F1115"/>
          <w:spacing w:val="0"/>
          <w:sz w:val="24"/>
          <w:szCs w:val="24"/>
          <w:shd w:val="clear" w:fill="FFFFFF"/>
        </w:rPr>
        <w:t>方案标准化欠缺</w:t>
      </w:r>
      <w:r>
        <w:rPr>
          <w:rFonts w:hint="eastAsia" w:ascii="宋体" w:hAnsi="宋体" w:eastAsia="宋体" w:cs="宋体"/>
          <w:i w:val="0"/>
          <w:iCs w:val="0"/>
          <w:caps w:val="0"/>
          <w:color w:val="0F1115"/>
          <w:spacing w:val="0"/>
          <w:sz w:val="24"/>
          <w:szCs w:val="24"/>
          <w:shd w:val="clear" w:fill="FFFFFF"/>
        </w:rPr>
        <w:t>——现有研究在训练强度、时序配合等关键参数上差异较大，缺乏统一、可复现的干预标准，视觉-体感反馈的时空同步性及最佳训练参数缺乏系统性研究[27]；（3）</w:t>
      </w:r>
      <w:r>
        <w:rPr>
          <w:rFonts w:hint="eastAsia" w:ascii="宋体" w:hAnsi="宋体" w:eastAsia="宋体" w:cs="宋体"/>
          <w:b/>
          <w:bCs/>
          <w:i w:val="0"/>
          <w:iCs w:val="0"/>
          <w:caps w:val="0"/>
          <w:color w:val="0F1115"/>
          <w:spacing w:val="0"/>
          <w:sz w:val="24"/>
          <w:szCs w:val="24"/>
          <w:shd w:val="clear" w:fill="FFFFFF"/>
        </w:rPr>
        <w:t>神经机制研究不足</w:t>
      </w:r>
      <w:r>
        <w:rPr>
          <w:rFonts w:hint="eastAsia" w:ascii="宋体" w:hAnsi="宋体" w:eastAsia="宋体" w:cs="宋体"/>
          <w:i w:val="0"/>
          <w:iCs w:val="0"/>
          <w:caps w:val="0"/>
          <w:color w:val="0F1115"/>
          <w:spacing w:val="0"/>
          <w:sz w:val="24"/>
          <w:szCs w:val="24"/>
          <w:shd w:val="clear" w:fill="FFFFFF"/>
        </w:rPr>
        <w:t>——多数研究依赖行为学指标（如Fugl-Meyer评估量表），缺少基于功能近红外光谱（fNIRS）、功能磁共振成像或经颅磁刺激等多模态神经影像技术的动态脑功能监测证据[28]；（4）</w:t>
      </w:r>
      <w:r>
        <w:rPr>
          <w:rFonts w:hint="eastAsia" w:ascii="宋体" w:hAnsi="宋体" w:eastAsia="宋体" w:cs="宋体"/>
          <w:b/>
          <w:bCs/>
          <w:i w:val="0"/>
          <w:iCs w:val="0"/>
          <w:caps w:val="0"/>
          <w:color w:val="0F1115"/>
          <w:spacing w:val="0"/>
          <w:sz w:val="24"/>
          <w:szCs w:val="24"/>
          <w:shd w:val="clear" w:fill="FFFFFF"/>
        </w:rPr>
        <w:t>研究方法学局限</w:t>
      </w:r>
      <w:r>
        <w:rPr>
          <w:rFonts w:hint="eastAsia" w:ascii="宋体" w:hAnsi="宋体" w:eastAsia="宋体" w:cs="宋体"/>
          <w:i w:val="0"/>
          <w:iCs w:val="0"/>
          <w:caps w:val="0"/>
          <w:color w:val="0F1115"/>
          <w:spacing w:val="0"/>
          <w:sz w:val="24"/>
          <w:szCs w:val="24"/>
          <w:shd w:val="clear" w:fill="FFFFFF"/>
        </w:rPr>
        <w:t>——样本量有限、随访时间短，对患者基线功能状态（如Brunnstrom分期）的亚组分析不足，未能充分揭示不同恢复阶段患者的疗效差异[30,31]。</w:t>
      </w:r>
    </w:p>
    <w:p w14:paraId="4BDD80E0">
      <w:pPr>
        <w:keepLines w:val="0"/>
        <w:pageBreakBefore w:val="0"/>
        <w:kinsoku/>
        <w:wordWrap/>
        <w:overflowPunct/>
        <w:topLinePunct w:val="0"/>
        <w:autoSpaceDE w:val="0"/>
        <w:autoSpaceDN/>
        <w:bidi w:val="0"/>
        <w:spacing w:before="480" w:after="120" w:line="240" w:lineRule="auto"/>
        <w:ind w:left="0" w:leftChars="0"/>
        <w:jc w:val="left"/>
        <w:outlineLvl w:val="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为解决上述问题，本研究采用2×2析因设计的随机对照试验，纳入脑卒中后手功能障碍患者，随机分为MT组、IPG组、联合干预组及常规康复对照组，通过标准化评定量表（Fugl-Meyer评定量表、手功能评定量表）与fNIRS脑功能监测相结合的方式进行双重评估。本研究的</w:t>
      </w:r>
      <w:r>
        <w:rPr>
          <w:rFonts w:hint="eastAsia" w:ascii="宋体" w:hAnsi="宋体" w:eastAsia="宋体" w:cs="宋体"/>
          <w:b/>
          <w:bCs/>
          <w:i w:val="0"/>
          <w:iCs w:val="0"/>
          <w:caps w:val="0"/>
          <w:color w:val="0F1115"/>
          <w:spacing w:val="0"/>
          <w:sz w:val="24"/>
          <w:szCs w:val="24"/>
          <w:shd w:val="clear" w:fill="FFFFFF"/>
        </w:rPr>
        <w:t>核心创新</w:t>
      </w:r>
      <w:r>
        <w:rPr>
          <w:rFonts w:hint="eastAsia" w:ascii="宋体" w:hAnsi="宋体" w:eastAsia="宋体" w:cs="宋体"/>
          <w:i w:val="0"/>
          <w:iCs w:val="0"/>
          <w:caps w:val="0"/>
          <w:color w:val="0F1115"/>
          <w:spacing w:val="0"/>
          <w:sz w:val="24"/>
          <w:szCs w:val="24"/>
          <w:shd w:val="clear" w:fill="FFFFFF"/>
        </w:rPr>
        <w:t>体现在：（1）</w:t>
      </w:r>
      <w:r>
        <w:rPr>
          <w:rFonts w:hint="eastAsia" w:ascii="宋体" w:hAnsi="宋体" w:eastAsia="宋体" w:cs="宋体"/>
          <w:b/>
          <w:bCs/>
          <w:i w:val="0"/>
          <w:iCs w:val="0"/>
          <w:caps w:val="0"/>
          <w:color w:val="0F1115"/>
          <w:spacing w:val="0"/>
          <w:sz w:val="24"/>
          <w:szCs w:val="24"/>
          <w:shd w:val="clear" w:fill="FFFFFF"/>
        </w:rPr>
        <w:t>理论层面</w:t>
      </w:r>
      <w:r>
        <w:rPr>
          <w:rFonts w:hint="eastAsia" w:ascii="宋体" w:hAnsi="宋体" w:eastAsia="宋体" w:cs="宋体"/>
          <w:i w:val="0"/>
          <w:iCs w:val="0"/>
          <w:caps w:val="0"/>
          <w:color w:val="0F1115"/>
          <w:spacing w:val="0"/>
          <w:sz w:val="24"/>
          <w:szCs w:val="24"/>
          <w:shd w:val="clear" w:fill="FFFFFF"/>
        </w:rPr>
        <w:t>，提出并验证“多模态同步强化”假说——即当视觉反馈与体感反馈在时空上精确同步时，能否最大化激活感觉-运动整合网络并促进神经重塑；（2）</w:t>
      </w:r>
      <w:r>
        <w:rPr>
          <w:rFonts w:hint="eastAsia" w:ascii="宋体" w:hAnsi="宋体" w:eastAsia="宋体" w:cs="宋体"/>
          <w:b/>
          <w:bCs/>
          <w:i w:val="0"/>
          <w:iCs w:val="0"/>
          <w:caps w:val="0"/>
          <w:color w:val="0F1115"/>
          <w:spacing w:val="0"/>
          <w:sz w:val="24"/>
          <w:szCs w:val="24"/>
          <w:shd w:val="clear" w:fill="FFFFFF"/>
        </w:rPr>
        <w:t>机制解析层面</w:t>
      </w:r>
      <w:r>
        <w:rPr>
          <w:rFonts w:hint="eastAsia" w:ascii="宋体" w:hAnsi="宋体" w:eastAsia="宋体" w:cs="宋体"/>
          <w:i w:val="0"/>
          <w:iCs w:val="0"/>
          <w:caps w:val="0"/>
          <w:color w:val="0F1115"/>
          <w:spacing w:val="0"/>
          <w:sz w:val="24"/>
          <w:szCs w:val="24"/>
          <w:shd w:val="clear" w:fill="FFFFFF"/>
        </w:rPr>
        <w:t>，首次利用fNIRS技术动态监测联合干预下大脑皮层激活模式及半球间平衡的时序变化，为阐明MT与IPG协同效应的神经可塑性机制提供客观的影像学证据；（3）</w:t>
      </w:r>
      <w:r>
        <w:rPr>
          <w:rFonts w:hint="eastAsia" w:ascii="宋体" w:hAnsi="宋体" w:eastAsia="宋体" w:cs="宋体"/>
          <w:b/>
          <w:bCs/>
          <w:i w:val="0"/>
          <w:iCs w:val="0"/>
          <w:caps w:val="0"/>
          <w:color w:val="0F1115"/>
          <w:spacing w:val="0"/>
          <w:sz w:val="24"/>
          <w:szCs w:val="24"/>
          <w:shd w:val="clear" w:fill="FFFFFF"/>
        </w:rPr>
        <w:t>方法学层面</w:t>
      </w:r>
      <w:r>
        <w:rPr>
          <w:rFonts w:hint="eastAsia" w:ascii="宋体" w:hAnsi="宋体" w:eastAsia="宋体" w:cs="宋体"/>
          <w:i w:val="0"/>
          <w:iCs w:val="0"/>
          <w:caps w:val="0"/>
          <w:color w:val="0F1115"/>
          <w:spacing w:val="0"/>
          <w:sz w:val="24"/>
          <w:szCs w:val="24"/>
          <w:shd w:val="clear" w:fill="FFFFFF"/>
        </w:rPr>
        <w:t>，通过2×2析因设计明确区分主效应与交互效应，结合基于Brunnstrom分期的亚组分析，系统探索患者基线特征对干预效果的调节作用。</w:t>
      </w:r>
    </w:p>
    <w:p w14:paraId="2DEFD158">
      <w:pPr>
        <w:keepLines w:val="0"/>
        <w:pageBreakBefore w:val="0"/>
        <w:kinsoku/>
        <w:wordWrap/>
        <w:overflowPunct/>
        <w:topLinePunct w:val="0"/>
        <w:autoSpaceDE w:val="0"/>
        <w:autoSpaceDN/>
        <w:bidi w:val="0"/>
        <w:spacing w:before="480" w:after="120" w:line="240" w:lineRule="auto"/>
        <w:ind w:left="0" w:leftChars="0"/>
        <w:jc w:val="left"/>
        <w:outlineLvl w:val="0"/>
        <w:rPr>
          <w:rFonts w:hint="eastAsia" w:ascii="宋体" w:hAnsi="宋体" w:eastAsia="宋体" w:cs="宋体"/>
          <w:b/>
          <w:bCs w:val="0"/>
          <w:sz w:val="24"/>
          <w:szCs w:val="24"/>
        </w:rPr>
      </w:pPr>
      <w:r>
        <w:rPr>
          <w:rFonts w:hint="eastAsia" w:ascii="宋体" w:hAnsi="宋体" w:eastAsia="宋体" w:cs="宋体"/>
          <w:b/>
          <w:bCs w:val="0"/>
          <w:sz w:val="24"/>
          <w:szCs w:val="24"/>
        </w:rPr>
        <w:t>Methods</w:t>
      </w:r>
    </w:p>
    <w:p w14:paraId="7321C4C8">
      <w:pPr>
        <w:keepLines w:val="0"/>
        <w:pageBreakBefore w:val="0"/>
        <w:kinsoku/>
        <w:wordWrap/>
        <w:overflowPunct/>
        <w:topLinePunct w:val="0"/>
        <w:autoSpaceDE w:val="0"/>
        <w:autoSpaceDN/>
        <w:bidi w:val="0"/>
        <w:spacing w:before="480" w:after="120" w:line="240" w:lineRule="auto"/>
        <w:ind w:left="0" w:leftChars="0"/>
        <w:jc w:val="left"/>
        <w:outlineLvl w:val="0"/>
        <w:rPr>
          <w:rFonts w:hint="eastAsia" w:ascii="宋体" w:hAnsi="宋体" w:eastAsia="宋体" w:cs="宋体"/>
          <w:bCs/>
          <w:sz w:val="24"/>
          <w:szCs w:val="24"/>
        </w:rPr>
      </w:pPr>
      <w:r>
        <w:rPr>
          <w:rFonts w:hint="eastAsia" w:ascii="宋体" w:hAnsi="宋体" w:eastAsia="宋体" w:cs="宋体"/>
          <w:bCs/>
          <w:sz w:val="24"/>
          <w:szCs w:val="24"/>
        </w:rPr>
        <w:t>2.1 研究对象</w:t>
      </w:r>
    </w:p>
    <w:p w14:paraId="62E6A359">
      <w:pPr>
        <w:keepLines w:val="0"/>
        <w:pageBreakBefore w:val="0"/>
        <w:kinsoku/>
        <w:wordWrap/>
        <w:overflowPunct/>
        <w:topLinePunct w:val="0"/>
        <w:autoSpaceDN/>
        <w:bidi w:val="0"/>
        <w:spacing w:before="240" w:after="120" w:line="240" w:lineRule="auto"/>
        <w:ind w:left="0" w:leftChars="0"/>
        <w:jc w:val="left"/>
        <w:outlineLvl w:val="1"/>
        <w:rPr>
          <w:rFonts w:hint="default" w:ascii="Cambria" w:hAnsi="Cambria" w:eastAsia="Cambria" w:cs="Cambria"/>
          <w:i w:val="0"/>
          <w:iCs w:val="0"/>
          <w:caps w:val="0"/>
          <w:color w:val="1B1B1B"/>
          <w:spacing w:val="0"/>
          <w:sz w:val="22"/>
          <w:szCs w:val="22"/>
          <w:shd w:val="clear" w:fill="FFFFFF"/>
        </w:rPr>
      </w:pPr>
      <w:bookmarkStart w:id="0" w:name="_Toc93734161"/>
      <w:bookmarkEnd w:id="0"/>
      <w:r>
        <w:rPr>
          <w:rFonts w:hint="eastAsia" w:ascii="宋体" w:hAnsi="宋体" w:eastAsia="宋体" w:cs="宋体"/>
          <w:sz w:val="24"/>
          <w:szCs w:val="24"/>
        </w:rPr>
        <w:t>本研究的受试者群体选自2023年1月至2024年10月</w:t>
      </w:r>
      <w:r>
        <w:rPr>
          <w:rFonts w:hint="eastAsia" w:ascii="宋体" w:hAnsi="宋体" w:eastAsia="宋体" w:cs="宋体"/>
          <w:color w:val="auto"/>
          <w:sz w:val="24"/>
          <w:szCs w:val="24"/>
        </w:rPr>
        <w:t>上海市第三康复</w:t>
      </w:r>
      <w:r>
        <w:rPr>
          <w:rFonts w:hint="eastAsia" w:ascii="宋体" w:hAnsi="宋体" w:eastAsia="宋体" w:cs="宋体"/>
          <w:sz w:val="24"/>
          <w:szCs w:val="24"/>
        </w:rPr>
        <w:t>医院住院患者。病例筛选遵循循证医学原则，确保研究的科学性和伦理性。伦理编号</w:t>
      </w:r>
      <w:r>
        <w:rPr>
          <w:rFonts w:hint="eastAsia" w:ascii="宋体" w:hAnsi="宋体" w:eastAsia="宋体" w:cs="宋体"/>
          <w:color w:val="auto"/>
          <w:sz w:val="24"/>
          <w:szCs w:val="24"/>
        </w:rPr>
        <w:t>（上海市第三康复医</w:t>
      </w:r>
      <w:r>
        <w:rPr>
          <w:rFonts w:hint="eastAsia" w:ascii="宋体" w:hAnsi="宋体" w:eastAsia="宋体" w:cs="宋体"/>
          <w:sz w:val="24"/>
          <w:szCs w:val="24"/>
        </w:rPr>
        <w:t>伦理委员会：SH3RH-2022-EC-019；）。</w:t>
      </w:r>
      <w:r>
        <w:rPr>
          <w:rFonts w:hint="eastAsia" w:ascii="宋体" w:hAnsi="宋体" w:eastAsia="宋体" w:cs="宋体"/>
          <w:bCs/>
          <w:sz w:val="24"/>
          <w:szCs w:val="24"/>
        </w:rPr>
        <w:t>纳入标准</w:t>
      </w:r>
      <w:r>
        <w:rPr>
          <w:rFonts w:hint="eastAsia" w:ascii="宋体" w:hAnsi="宋体" w:cs="宋体"/>
          <w:bCs/>
          <w:sz w:val="24"/>
          <w:szCs w:val="24"/>
          <w:lang w:val="en-US" w:eastAsia="zh-CN"/>
        </w:rPr>
        <w:t>:</w:t>
      </w:r>
      <w:r>
        <w:rPr>
          <w:rFonts w:hint="eastAsia" w:ascii="宋体" w:hAnsi="宋体" w:eastAsia="宋体" w:cs="宋体"/>
          <w:sz w:val="24"/>
          <w:szCs w:val="24"/>
        </w:rPr>
        <w:t>（1）符合第四届全国脑血管病学术会议制定的脑卒中诊断标准；（2）经颅脑CT或MRI确诊为首次卒中发作，病程处于亚急性期（1—6个月），神经功能稳定，年龄范围20-80周岁；（3）认知功能评估符合：简易精神状态检查量表（MMSE）≥20分；运动功能Brunnstrom分期≤Ⅲ期；改良Ashworth肌张力分级≤3级；（4）无精神疾病史，具备基本治疗依从性；（5）自愿签署知情同意书并完成伦理审查程序。</w:t>
      </w:r>
      <w:r>
        <w:rPr>
          <w:rFonts w:hint="eastAsia" w:ascii="宋体" w:hAnsi="宋体" w:eastAsia="宋体" w:cs="宋体"/>
          <w:bCs/>
          <w:sz w:val="24"/>
          <w:szCs w:val="24"/>
        </w:rPr>
        <w:t>排除标准</w:t>
      </w:r>
      <w:r>
        <w:rPr>
          <w:rFonts w:hint="eastAsia" w:ascii="宋体" w:hAnsi="宋体" w:cs="宋体"/>
          <w:bCs/>
          <w:sz w:val="24"/>
          <w:szCs w:val="24"/>
          <w:lang w:val="en-US" w:eastAsia="zh-CN"/>
        </w:rPr>
        <w:t>:</w:t>
      </w:r>
      <w:r>
        <w:rPr>
          <w:rFonts w:hint="eastAsia" w:ascii="宋体" w:hAnsi="宋体" w:eastAsia="宋体" w:cs="宋体"/>
          <w:kern w:val="0"/>
          <w:sz w:val="24"/>
          <w:szCs w:val="24"/>
          <w:shd w:val="clear" w:color="auto" w:fill="FFFFFF"/>
        </w:rPr>
        <w:t xml:space="preserve">（1）年龄超过80周岁或患有严重心肺肝肾器质性疾病，可能影响康复训练实施的患者；（2）短暂性脑缺血发作等可逆性脑血管事件患者；（3）MMSE评分低于20分，存在严重认知功能障碍，影响治疗配合的患者；（4）具有精神疾病现病史或既往病史的患者；（5）存在视听交流障碍；（6）因各种原因无法完成规定疗程及随访观察的患者。 </w:t>
      </w:r>
      <w:r>
        <w:rPr>
          <w:rFonts w:hint="default" w:ascii="Cambria" w:hAnsi="Cambria" w:eastAsia="Cambria" w:cs="Cambria"/>
          <w:i w:val="0"/>
          <w:iCs w:val="0"/>
          <w:caps w:val="0"/>
          <w:color w:val="1B1B1B"/>
          <w:spacing w:val="0"/>
          <w:sz w:val="22"/>
          <w:szCs w:val="22"/>
          <w:shd w:val="clear" w:fill="FFFFFF"/>
        </w:rPr>
        <w:t>本研究获得</w:t>
      </w:r>
      <w:r>
        <w:rPr>
          <w:rFonts w:hint="eastAsia" w:ascii="Cambria" w:hAnsi="Cambria" w:cs="Cambria"/>
          <w:i w:val="0"/>
          <w:iCs w:val="0"/>
          <w:caps w:val="0"/>
          <w:color w:val="1B1B1B"/>
          <w:spacing w:val="0"/>
          <w:sz w:val="22"/>
          <w:szCs w:val="22"/>
          <w:shd w:val="clear" w:fill="FFFFFF"/>
          <w:lang w:val="en-US" w:eastAsia="zh-CN"/>
        </w:rPr>
        <w:t>上海市第三康复医院</w:t>
      </w:r>
      <w:r>
        <w:rPr>
          <w:rFonts w:hint="default" w:ascii="Cambria" w:hAnsi="Cambria" w:eastAsia="Cambria" w:cs="Cambria"/>
          <w:i w:val="0"/>
          <w:iCs w:val="0"/>
          <w:caps w:val="0"/>
          <w:color w:val="1B1B1B"/>
          <w:spacing w:val="0"/>
          <w:sz w:val="22"/>
          <w:szCs w:val="22"/>
          <w:shd w:val="clear" w:fill="FFFFFF"/>
        </w:rPr>
        <w:t>伦理委员会批准。所有方法严格遵守医院相关指导方针和规定，并获得每位参与者或其法律代表的书面知情同意。</w:t>
      </w:r>
    </w:p>
    <w:p w14:paraId="45425294">
      <w:pPr>
        <w:keepLines w:val="0"/>
        <w:pageBreakBefore w:val="0"/>
        <w:kinsoku/>
        <w:wordWrap/>
        <w:overflowPunct/>
        <w:topLinePunct w:val="0"/>
        <w:autoSpaceDN/>
        <w:bidi w:val="0"/>
        <w:spacing w:before="240" w:after="120" w:line="240" w:lineRule="auto"/>
        <w:ind w:left="0" w:leftChars="0"/>
        <w:jc w:val="left"/>
        <w:outlineLvl w:val="1"/>
        <w:rPr>
          <w:rFonts w:hint="eastAsia" w:ascii="宋体" w:hAnsi="宋体" w:eastAsia="宋体" w:cs="宋体"/>
          <w:bCs/>
          <w:sz w:val="24"/>
          <w:szCs w:val="24"/>
        </w:rPr>
      </w:pPr>
      <w:r>
        <w:rPr>
          <w:rFonts w:hint="eastAsia" w:ascii="宋体" w:hAnsi="宋体" w:eastAsia="宋体" w:cs="宋体"/>
          <w:bCs/>
          <w:sz w:val="24"/>
          <w:szCs w:val="24"/>
        </w:rPr>
        <w:t>2.2 分组标准及盲法</w:t>
      </w:r>
    </w:p>
    <w:p w14:paraId="1C66C458">
      <w:pPr>
        <w:keepLines w:val="0"/>
        <w:pageBreakBefore w:val="0"/>
        <w:kinsoku/>
        <w:wordWrap/>
        <w:overflowPunct/>
        <w:topLinePunct w:val="0"/>
        <w:autoSpaceDN/>
        <w:bidi w:val="0"/>
        <w:spacing w:line="240" w:lineRule="auto"/>
        <w:ind w:left="0" w:leftChars="0" w:firstLine="480" w:firstLineChars="200"/>
        <w:jc w:val="left"/>
        <w:rPr>
          <w:rFonts w:hint="eastAsia" w:ascii="宋体" w:hAnsi="宋体" w:eastAsia="宋体" w:cs="宋体"/>
          <w:sz w:val="24"/>
          <w:szCs w:val="24"/>
        </w:rPr>
      </w:pPr>
      <w:r>
        <w:rPr>
          <w:rFonts w:hint="eastAsia" w:ascii="宋体" w:hAnsi="宋体" w:eastAsia="宋体" w:cs="宋体"/>
          <w:sz w:val="24"/>
          <w:szCs w:val="24"/>
        </w:rPr>
        <w:t>采用计算机Excel 生成的随机数字表法（区组随机化），80例合格受试者被均匀划分至四个组别：镜像组（n=20）、手套组（n=20）、联合组（n=20）以及对照组（n=20）。在研究实施阶段，分组信息由独立的统计师根据病例的入组顺序实时进行分配。本试验遵循三盲设计原则，确保受试者、疗效评估者及数据分析者均对分组信息保持盲态。研究方案严格规定从随机序列生成、干预实施、数据采集到统计分析全流程的盲法维持措施，最大程度控制选择偏倚、实施偏倚和测量偏倚。盲底揭封仅在进行最终统计分析前由主要研究者执行。</w:t>
      </w:r>
    </w:p>
    <w:p w14:paraId="2D872FDF">
      <w:pPr>
        <w:keepLines w:val="0"/>
        <w:pageBreakBefore w:val="0"/>
        <w:kinsoku/>
        <w:wordWrap/>
        <w:overflowPunct/>
        <w:topLinePunct w:val="0"/>
        <w:autoSpaceDN/>
        <w:bidi w:val="0"/>
        <w:spacing w:before="480" w:after="120" w:line="240" w:lineRule="auto"/>
        <w:ind w:left="0" w:leftChars="0"/>
        <w:jc w:val="left"/>
        <w:outlineLvl w:val="0"/>
        <w:rPr>
          <w:rFonts w:hint="eastAsia" w:ascii="宋体" w:hAnsi="宋体" w:eastAsia="宋体" w:cs="宋体"/>
          <w:bCs/>
          <w:sz w:val="24"/>
          <w:szCs w:val="24"/>
        </w:rPr>
      </w:pPr>
      <w:r>
        <w:rPr>
          <w:rFonts w:hint="eastAsia" w:ascii="宋体" w:hAnsi="宋体" w:eastAsia="宋体" w:cs="宋体"/>
          <w:bCs/>
          <w:sz w:val="24"/>
          <w:szCs w:val="24"/>
        </w:rPr>
        <w:t>2.3 干预措施</w:t>
      </w:r>
    </w:p>
    <w:p w14:paraId="364457ED">
      <w:pPr>
        <w:keepLines w:val="0"/>
        <w:pageBreakBefore w:val="0"/>
        <w:kinsoku/>
        <w:wordWrap/>
        <w:overflowPunct/>
        <w:topLinePunct w:val="0"/>
        <w:autoSpaceDN/>
        <w:bidi w:val="0"/>
        <w:spacing w:before="240" w:after="120" w:line="240" w:lineRule="auto"/>
        <w:ind w:left="0" w:leftChars="0"/>
        <w:jc w:val="left"/>
        <w:outlineLvl w:val="1"/>
        <w:rPr>
          <w:rFonts w:hint="eastAsia" w:ascii="宋体" w:hAnsi="宋体" w:eastAsia="宋体" w:cs="宋体"/>
          <w:bCs/>
          <w:sz w:val="24"/>
          <w:szCs w:val="24"/>
        </w:rPr>
      </w:pPr>
      <w:r>
        <w:rPr>
          <w:rFonts w:hint="eastAsia" w:ascii="宋体" w:hAnsi="宋体" w:eastAsia="宋体" w:cs="宋体"/>
          <w:bCs/>
          <w:sz w:val="24"/>
          <w:szCs w:val="24"/>
        </w:rPr>
        <w:t xml:space="preserve">2.3.1 培训 </w:t>
      </w:r>
    </w:p>
    <w:p w14:paraId="76EDF7BC">
      <w:pPr>
        <w:keepLines w:val="0"/>
        <w:pageBreakBefore w:val="0"/>
        <w:kinsoku/>
        <w:wordWrap/>
        <w:overflowPunct/>
        <w:topLinePunct w:val="0"/>
        <w:autoSpaceDE w:val="0"/>
        <w:autoSpaceDN/>
        <w:bidi w:val="0"/>
        <w:spacing w:line="240" w:lineRule="auto"/>
        <w:ind w:left="0" w:leftChars="0" w:firstLine="480" w:firstLineChars="200"/>
        <w:jc w:val="left"/>
        <w:rPr>
          <w:rFonts w:hint="eastAsia" w:ascii="宋体" w:hAnsi="宋体" w:eastAsia="宋体" w:cs="宋体"/>
          <w:sz w:val="24"/>
          <w:szCs w:val="24"/>
        </w:rPr>
      </w:pPr>
      <w:r>
        <w:rPr>
          <w:rFonts w:hint="eastAsia" w:ascii="宋体" w:hAnsi="宋体" w:eastAsia="宋体" w:cs="宋体"/>
          <w:color w:val="auto"/>
          <w:sz w:val="24"/>
          <w:szCs w:val="24"/>
        </w:rPr>
        <w:t>上海市第三康复</w:t>
      </w:r>
      <w:r>
        <w:rPr>
          <w:rFonts w:hint="eastAsia" w:ascii="宋体" w:hAnsi="宋体" w:eastAsia="宋体" w:cs="宋体"/>
          <w:sz w:val="24"/>
          <w:szCs w:val="24"/>
        </w:rPr>
        <w:t xml:space="preserve">医院的医生及资深治疗师共同对相关人员进行规范化培训。培训内容涵盖功能性近红外光谱技术（fNIRS）标准化操作流程、康复评定方法及干预方案实施细则。为确保研究一致性，课题中期将进行标准化复训，避免操作差异。 </w:t>
      </w:r>
    </w:p>
    <w:p w14:paraId="2245E2EE">
      <w:pPr>
        <w:keepLines w:val="0"/>
        <w:pageBreakBefore w:val="0"/>
        <w:kinsoku/>
        <w:wordWrap/>
        <w:overflowPunct/>
        <w:topLinePunct w:val="0"/>
        <w:autoSpaceDN/>
        <w:bidi w:val="0"/>
        <w:spacing w:before="240" w:after="120" w:line="240" w:lineRule="auto"/>
        <w:ind w:left="0" w:leftChars="0"/>
        <w:jc w:val="left"/>
        <w:outlineLvl w:val="1"/>
        <w:rPr>
          <w:rFonts w:hint="eastAsia" w:ascii="宋体" w:hAnsi="宋体" w:eastAsia="宋体" w:cs="宋体"/>
          <w:bCs/>
          <w:sz w:val="24"/>
          <w:szCs w:val="24"/>
        </w:rPr>
      </w:pPr>
      <w:r>
        <w:rPr>
          <w:rFonts w:hint="eastAsia" w:ascii="宋体" w:hAnsi="宋体" w:eastAsia="宋体" w:cs="宋体"/>
          <w:bCs/>
          <w:sz w:val="24"/>
          <w:szCs w:val="24"/>
        </w:rPr>
        <w:t xml:space="preserve">2.3.2 干预措施 </w:t>
      </w:r>
    </w:p>
    <w:p w14:paraId="7D5C2734">
      <w:pPr>
        <w:spacing w:line="400" w:lineRule="exact"/>
        <w:ind w:firstLine="480" w:firstLineChars="200"/>
        <w:rPr>
          <w:color w:val="auto"/>
          <w:sz w:val="24"/>
        </w:rPr>
      </w:pPr>
      <w:r>
        <w:rPr>
          <w:rFonts w:hint="eastAsia"/>
          <w:sz w:val="24"/>
        </w:rPr>
        <w:t>四组受试对象均接</w:t>
      </w:r>
      <w:r>
        <w:rPr>
          <w:rFonts w:hint="eastAsia"/>
          <w:color w:val="auto"/>
          <w:sz w:val="24"/>
        </w:rPr>
        <w:t>受标准化康复干预方案：1）基于Bobath神经发育疗法理论实施良肢位摆放；2）常规治疗方案包含关节活动度维持训练（Range of Motion Training, ROM训练）、中医推拿手法治疗、神经肌肉电刺激（Neuromuscular Electrical Stimulation, NMES）及生物反馈疗法，每日单次干预（50分钟/次）。这些康复手段在脑卒中的康复治疗中被广泛采用。实验分组设计如下：</w:t>
      </w:r>
    </w:p>
    <w:p w14:paraId="72EE50F6">
      <w:pPr>
        <w:spacing w:line="400" w:lineRule="exact"/>
        <w:ind w:firstLine="480" w:firstLineChars="200"/>
        <w:rPr>
          <w:color w:val="auto"/>
          <w:sz w:val="24"/>
        </w:rPr>
      </w:pPr>
      <w:r>
        <w:rPr>
          <w:rFonts w:hint="eastAsia"/>
          <w:color w:val="auto"/>
          <w:sz w:val="24"/>
        </w:rPr>
        <w:t>镜像组：受试者取标准坐位，治疗台正中垂直放置光学反射镜面，患侧上肢置于镜后治疗桌面，健侧上肢置于镜前可视化区域。通过视觉反馈引导患者建立患侧肢体运动的运动意象，同步观察镜面反射的健侧上肢运动轨迹，想象成患手的运动。训练模块涵盖了腕关节屈曲至背伸运动（关节活动度0-90°）、握力分级训练（依据Brunnstrom分期0-5级）以及多指对掌协调运动等项目。治疗参数：单次治疗时间20分钟，每日1次，每周5次，持续干预6周。</w:t>
      </w:r>
    </w:p>
    <w:p w14:paraId="173A02B8">
      <w:pPr>
        <w:spacing w:line="400" w:lineRule="exact"/>
        <w:ind w:firstLine="480" w:firstLineChars="200"/>
        <w:rPr>
          <w:color w:val="auto"/>
          <w:sz w:val="24"/>
        </w:rPr>
      </w:pPr>
      <w:r>
        <w:rPr>
          <w:rFonts w:hint="eastAsia"/>
          <w:color w:val="auto"/>
          <w:sz w:val="24"/>
        </w:rPr>
        <w:t>手套组：在基础方案基础上应用手功能康复机器人（羿生医疗设备有限公司，型号SY-HRE10）。受试者取标准坐位，坐于治疗桌前，患手配戴手功能康复机器人的气动式柔性手套。该设备通过设备输出指令，气压驱动患手手套实现患手的完全被动运动，运动模式涵盖腕掌关节屈曲（0-45°）、掌指关节伸展（0-90°）等标准化运动轨迹。治疗周期及频率参数设定与镜像疗法组保持一致性。</w:t>
      </w:r>
    </w:p>
    <w:p w14:paraId="636B2791">
      <w:pPr>
        <w:spacing w:line="400" w:lineRule="exact"/>
        <w:ind w:firstLine="480" w:firstLineChars="200"/>
        <w:rPr>
          <w:color w:val="auto"/>
          <w:sz w:val="24"/>
        </w:rPr>
      </w:pPr>
      <w:r>
        <w:rPr>
          <w:rFonts w:hint="eastAsia"/>
          <w:color w:val="auto"/>
          <w:sz w:val="24"/>
        </w:rPr>
        <w:t>联合组：采用镜像疗法与手功能康复机器人的协同治疗方案，受试者取标准坐位，坐于治疗桌前，患手配戴气动式柔性手套，健手佩戴内置传感器的手套。由</w:t>
      </w:r>
      <w:r>
        <w:rPr>
          <w:rFonts w:hint="default"/>
          <w:color w:val="auto"/>
          <w:sz w:val="24"/>
        </w:rPr>
        <w:t>健手数据手套与患手气动式柔性手套构成的双侧协同康复系统。健手数据手套内置弯曲传感器（采样频率200Hz）与惯性测量单元（IMU，采样频率100Hz），实时采集健侧手指关节角度、运动速度及加速度等运动学参数；经ARM Cortex-M7中央处理器（主频480MHz）进行运动模式解析后，通过位置-压力混合控制算法，将健侧运动学参数映射为患侧气动执行器的目标压力值（0-120kPa），控制周期为5ms，系统平均延迟8.2±1.5ms，实现视觉反馈、本体感觉与运动觉多感官输入的毫秒级同步。</w:t>
      </w:r>
      <w:r>
        <w:rPr>
          <w:rFonts w:hint="eastAsia"/>
          <w:color w:val="auto"/>
          <w:sz w:val="24"/>
        </w:rPr>
        <w:t>当置于镜子前的健侧上肢在镜前执行动作时，通过健侧手套内置传感器实时采集运动学参数，经中央处理器（</w:t>
      </w:r>
      <w:r>
        <w:rPr>
          <w:color w:val="auto"/>
          <w:sz w:val="24"/>
        </w:rPr>
        <w:t>CPU: ARM Cortex-M7</w:t>
      </w:r>
      <w:r>
        <w:rPr>
          <w:rFonts w:hint="eastAsia"/>
          <w:color w:val="auto"/>
          <w:sz w:val="24"/>
        </w:rPr>
        <w:t>）进行运动模式解析后，同步驱动患侧气动执行机构产生同相位运动输出。该方案构建了视觉－本体感觉双模态神经反馈机制，实现双侧肢体运动同步化训练。运动学参数及治疗方案设定与单一干预组保持一致。</w:t>
      </w:r>
    </w:p>
    <w:p w14:paraId="600FCB44">
      <w:pPr>
        <w:spacing w:line="400" w:lineRule="exact"/>
        <w:ind w:firstLine="480" w:firstLineChars="200"/>
        <w:rPr>
          <w:color w:val="auto"/>
          <w:sz w:val="24"/>
        </w:rPr>
      </w:pPr>
      <w:r>
        <w:rPr>
          <w:rFonts w:hint="eastAsia"/>
          <w:color w:val="auto"/>
          <w:sz w:val="24"/>
        </w:rPr>
        <w:t>对照组：在基础康复方案之上，增加了常规的关节活动训练，且单次训练时长与干预周期的参数设置与实验组保持等效。</w:t>
      </w:r>
    </w:p>
    <w:p w14:paraId="59B20EED">
      <w:pPr>
        <w:keepLines w:val="0"/>
        <w:pageBreakBefore w:val="0"/>
        <w:kinsoku/>
        <w:wordWrap/>
        <w:overflowPunct/>
        <w:topLinePunct w:val="0"/>
        <w:autoSpaceDN/>
        <w:bidi w:val="0"/>
        <w:spacing w:before="480" w:after="120" w:line="240" w:lineRule="auto"/>
        <w:ind w:left="0" w:leftChars="0"/>
        <w:jc w:val="left"/>
        <w:outlineLvl w:val="0"/>
        <w:rPr>
          <w:rFonts w:hint="eastAsia" w:ascii="宋体" w:hAnsi="宋体" w:eastAsia="宋体" w:cs="宋体"/>
          <w:bCs/>
          <w:sz w:val="24"/>
          <w:szCs w:val="24"/>
        </w:rPr>
      </w:pPr>
      <w:r>
        <w:rPr>
          <w:rFonts w:hint="eastAsia" w:ascii="宋体" w:hAnsi="宋体" w:eastAsia="宋体" w:cs="宋体"/>
          <w:bCs/>
          <w:sz w:val="24"/>
          <w:szCs w:val="24"/>
        </w:rPr>
        <w:t xml:space="preserve"> 2.4 康复评估</w:t>
      </w:r>
    </w:p>
    <w:p w14:paraId="1EF38CD1">
      <w:pPr>
        <w:keepLines w:val="0"/>
        <w:pageBreakBefore w:val="0"/>
        <w:kinsoku/>
        <w:wordWrap/>
        <w:overflowPunct/>
        <w:topLinePunct w:val="0"/>
        <w:autoSpaceDN/>
        <w:bidi w:val="0"/>
        <w:spacing w:line="240" w:lineRule="auto"/>
        <w:ind w:left="0" w:leftChars="0" w:firstLine="480" w:firstLineChars="200"/>
        <w:jc w:val="left"/>
        <w:rPr>
          <w:rFonts w:hint="eastAsia" w:ascii="宋体" w:hAnsi="宋体" w:eastAsia="宋体" w:cs="宋体"/>
          <w:sz w:val="24"/>
          <w:szCs w:val="24"/>
        </w:rPr>
      </w:pPr>
      <w:r>
        <w:rPr>
          <w:rFonts w:hint="eastAsia" w:ascii="宋体" w:hAnsi="宋体" w:eastAsia="宋体" w:cs="宋体"/>
          <w:sz w:val="24"/>
          <w:szCs w:val="24"/>
        </w:rPr>
        <w:t>基础资料采集与质量控制：1）基线资料收集：涵盖人口学特征与病程相关参数；2）疗效评定：借助国际通用量表开展；3）安全性监测：记录不良事件的发生比率。在评估过程中运用单盲法，以保障受试者对分组信息处于未知状态。</w:t>
      </w:r>
    </w:p>
    <w:p w14:paraId="006DE4ED">
      <w:pPr>
        <w:keepLines w:val="0"/>
        <w:pageBreakBefore w:val="0"/>
        <w:kinsoku/>
        <w:wordWrap/>
        <w:overflowPunct/>
        <w:topLinePunct w:val="0"/>
        <w:autoSpaceDN/>
        <w:bidi w:val="0"/>
        <w:spacing w:before="240" w:after="120" w:line="240" w:lineRule="auto"/>
        <w:ind w:left="0" w:leftChars="0"/>
        <w:jc w:val="left"/>
        <w:outlineLvl w:val="1"/>
        <w:rPr>
          <w:rFonts w:hint="eastAsia" w:ascii="宋体" w:hAnsi="宋体" w:eastAsia="宋体" w:cs="宋体"/>
          <w:bCs/>
          <w:sz w:val="24"/>
          <w:szCs w:val="24"/>
        </w:rPr>
      </w:pPr>
      <w:r>
        <w:rPr>
          <w:rFonts w:hint="eastAsia" w:ascii="宋体" w:hAnsi="宋体" w:cs="宋体"/>
          <w:bCs/>
          <w:sz w:val="24"/>
          <w:szCs w:val="24"/>
          <w:lang w:val="en-US" w:eastAsia="zh-CN"/>
        </w:rPr>
        <w:t>临床评估</w:t>
      </w:r>
      <w:r>
        <w:rPr>
          <w:rFonts w:hint="eastAsia" w:ascii="宋体" w:hAnsi="宋体" w:eastAsia="宋体" w:cs="宋体"/>
          <w:bCs/>
          <w:sz w:val="24"/>
          <w:szCs w:val="24"/>
        </w:rPr>
        <w:t xml:space="preserve"> </w:t>
      </w:r>
    </w:p>
    <w:p w14:paraId="12F41804">
      <w:pPr>
        <w:keepLines w:val="0"/>
        <w:pageBreakBefore w:val="0"/>
        <w:kinsoku/>
        <w:wordWrap/>
        <w:overflowPunct/>
        <w:topLinePunct w:val="0"/>
        <w:autoSpaceDN/>
        <w:bidi w:val="0"/>
        <w:spacing w:line="240" w:lineRule="auto"/>
        <w:ind w:left="0" w:leftChars="0" w:firstLine="480" w:firstLineChars="200"/>
        <w:jc w:val="left"/>
        <w:rPr>
          <w:rFonts w:hint="eastAsia" w:ascii="宋体" w:hAnsi="宋体" w:eastAsia="宋体" w:cs="宋体"/>
          <w:sz w:val="24"/>
          <w:szCs w:val="24"/>
        </w:rPr>
      </w:pPr>
      <w:r>
        <w:rPr>
          <w:rFonts w:hint="eastAsia" w:ascii="宋体" w:hAnsi="宋体" w:eastAsia="宋体" w:cs="宋体"/>
          <w:sz w:val="24"/>
          <w:szCs w:val="24"/>
        </w:rPr>
        <w:t>采用简式Fugl-Meyer上肢评定量表（Upper Extremity Fugl-Meyer Assessment, U-FMA）进行量化评估</w:t>
      </w:r>
      <w:r>
        <w:rPr>
          <w:rFonts w:hint="eastAsia" w:ascii="宋体" w:hAnsi="宋体" w:eastAsia="宋体" w:cs="宋体"/>
          <w:color w:val="080000"/>
          <w:sz w:val="24"/>
          <w:szCs w:val="24"/>
          <w:vertAlign w:val="superscript"/>
        </w:rPr>
        <w:t>[47]</w:t>
      </w:r>
      <w:r>
        <w:rPr>
          <w:rFonts w:hint="eastAsia" w:ascii="宋体" w:hAnsi="宋体" w:eastAsia="宋体" w:cs="宋体"/>
          <w:sz w:val="24"/>
          <w:szCs w:val="24"/>
        </w:rPr>
        <w:t>。该量表包含33个条目，涵盖反射活动、协同运动、分离运动等维度，总分0～66分。评估标准：≤18分为重度障碍，19～36分为中度，≥37分为轻度。</w:t>
      </w:r>
    </w:p>
    <w:p w14:paraId="6752DFA4">
      <w:pPr>
        <w:keepLines w:val="0"/>
        <w:pageBreakBefore w:val="0"/>
        <w:kinsoku/>
        <w:wordWrap/>
        <w:overflowPunct/>
        <w:topLinePunct w:val="0"/>
        <w:autoSpaceDN/>
        <w:bidi w:val="0"/>
        <w:spacing w:line="240" w:lineRule="auto"/>
        <w:ind w:left="0" w:leftChars="0" w:firstLine="480" w:firstLineChars="200"/>
        <w:jc w:val="left"/>
        <w:rPr>
          <w:rFonts w:hint="eastAsia" w:ascii="宋体" w:hAnsi="宋体" w:eastAsia="宋体" w:cs="宋体"/>
          <w:sz w:val="24"/>
          <w:szCs w:val="24"/>
        </w:rPr>
      </w:pPr>
      <w:r>
        <w:rPr>
          <w:rFonts w:hint="eastAsia" w:ascii="宋体" w:hAnsi="宋体" w:eastAsia="宋体" w:cs="宋体"/>
          <w:sz w:val="24"/>
          <w:szCs w:val="24"/>
        </w:rPr>
        <w:t>上肢功能评估量表（Action Research Arm Test, ARAT）进行手功能评定</w:t>
      </w:r>
      <w:r>
        <w:rPr>
          <w:rFonts w:hint="eastAsia" w:ascii="宋体" w:hAnsi="宋体" w:eastAsia="宋体" w:cs="宋体"/>
          <w:color w:val="080000"/>
          <w:sz w:val="24"/>
          <w:szCs w:val="24"/>
          <w:vertAlign w:val="superscript"/>
        </w:rPr>
        <w:t>[48]</w:t>
      </w:r>
      <w:r>
        <w:rPr>
          <w:rFonts w:hint="eastAsia" w:ascii="宋体" w:hAnsi="宋体" w:eastAsia="宋体" w:cs="宋体"/>
          <w:sz w:val="24"/>
          <w:szCs w:val="24"/>
        </w:rPr>
        <w:t>。量表包含19项任务，分为抓握（0～18分）、握持（0～12分）、捏夹（0～18分）、粗大运动（0～9分）四个维度，总分0～57分（ICC=0.98）。评分越高表示手功能越好。</w:t>
      </w:r>
    </w:p>
    <w:p w14:paraId="399F7C1E">
      <w:pPr>
        <w:keepLines w:val="0"/>
        <w:pageBreakBefore w:val="0"/>
        <w:kinsoku/>
        <w:wordWrap/>
        <w:overflowPunct/>
        <w:topLinePunct w:val="0"/>
        <w:autoSpaceDN/>
        <w:bidi w:val="0"/>
        <w:spacing w:line="240" w:lineRule="auto"/>
        <w:ind w:left="0" w:leftChars="0" w:firstLine="480" w:firstLineChars="200"/>
        <w:jc w:val="left"/>
        <w:rPr>
          <w:rFonts w:hint="eastAsia" w:ascii="宋体" w:hAnsi="宋体" w:eastAsia="宋体" w:cs="宋体"/>
          <w:sz w:val="24"/>
          <w:szCs w:val="24"/>
        </w:rPr>
      </w:pPr>
      <w:r>
        <w:rPr>
          <w:rFonts w:hint="eastAsia" w:ascii="宋体" w:hAnsi="宋体" w:eastAsia="宋体" w:cs="宋体"/>
          <w:sz w:val="24"/>
          <w:szCs w:val="24"/>
        </w:rPr>
        <w:t>采用Barthel指数（Barthel Index, BI）进行评估。量表包含10个条目，涵盖进食、转移、如厕等ADL项目，总分按加权计算法得出0～100分（κ=0.87）。评估等级：≤40分为完全依赖，41～60分为严重依赖，≥61分为基本自理。评分越高表示患者的日常生活能力越强。</w:t>
      </w:r>
    </w:p>
    <w:p w14:paraId="36694EB6">
      <w:pPr>
        <w:keepLines w:val="0"/>
        <w:pageBreakBefore w:val="0"/>
        <w:kinsoku/>
        <w:wordWrap/>
        <w:overflowPunct/>
        <w:topLinePunct w:val="0"/>
        <w:autoSpaceDN/>
        <w:bidi w:val="0"/>
        <w:spacing w:before="240" w:after="120" w:line="240" w:lineRule="auto"/>
        <w:ind w:left="0" w:leftChars="0"/>
        <w:jc w:val="left"/>
        <w:outlineLvl w:val="1"/>
        <w:rPr>
          <w:rFonts w:hint="eastAsia" w:ascii="宋体" w:hAnsi="宋体" w:eastAsia="宋体" w:cs="宋体"/>
          <w:bCs/>
          <w:sz w:val="24"/>
          <w:szCs w:val="24"/>
        </w:rPr>
      </w:pPr>
      <w:r>
        <w:rPr>
          <w:rFonts w:hint="eastAsia" w:ascii="宋体" w:hAnsi="宋体" w:eastAsia="宋体" w:cs="宋体"/>
          <w:bCs/>
          <w:sz w:val="24"/>
          <w:szCs w:val="24"/>
        </w:rPr>
        <w:t>fNIRS 评估与分析</w:t>
      </w:r>
    </w:p>
    <w:p w14:paraId="00FD5E5C">
      <w:pPr>
        <w:keepLines w:val="0"/>
        <w:pageBreakBefore w:val="0"/>
        <w:kinsoku/>
        <w:wordWrap/>
        <w:overflowPunct/>
        <w:topLinePunct w:val="0"/>
        <w:autoSpaceDN/>
        <w:bidi w:val="0"/>
        <w:spacing w:line="240" w:lineRule="auto"/>
        <w:ind w:left="0" w:leftChars="0" w:firstLine="480" w:firstLineChars="200"/>
        <w:jc w:val="left"/>
        <w:rPr>
          <w:rFonts w:hint="eastAsia" w:ascii="宋体" w:hAnsi="宋体" w:eastAsia="宋体" w:cs="宋体"/>
          <w:sz w:val="24"/>
          <w:szCs w:val="24"/>
        </w:rPr>
      </w:pPr>
      <w:r>
        <w:rPr>
          <w:rFonts w:hint="eastAsia" w:ascii="宋体" w:hAnsi="宋体" w:eastAsia="宋体" w:cs="宋体"/>
          <w:sz w:val="24"/>
          <w:szCs w:val="24"/>
        </w:rPr>
        <w:t>本研究采用丹阳慧创医疗设备有限公司研发的NIRS-smartII-3000A近红外脑功能成像系统进行脑血流动力学参数采集。该系统的主要技术参数概述如下：首先，光学配置选用了双波长近红外光，具体波长为730±5 nm和850±5 nm；2）数据采样频率为11 Hz；其次，探头阵列的构建包括18个光源和16个探测器，它们共同组成了一个平面矩阵（光源排布可参考图2.2-A）。这一设计形成了38个有效的检测通道（通道空间排布详情见图2.2-B），且光源与探测器之间的间距被精确控制在30毫米。4）空间定位通过三维数字化定位系统实现，使用 EEG 10-20 系统</w:t>
      </w:r>
      <w:r>
        <w:rPr>
          <w:rFonts w:hint="eastAsia" w:ascii="宋体" w:hAnsi="宋体" w:eastAsia="宋体" w:cs="宋体"/>
          <w:color w:val="080000"/>
          <w:sz w:val="24"/>
          <w:szCs w:val="24"/>
          <w:vertAlign w:val="superscript"/>
        </w:rPr>
        <w:t>[49]</w:t>
      </w:r>
      <w:r>
        <w:rPr>
          <w:rFonts w:hint="eastAsia" w:ascii="宋体" w:hAnsi="宋体" w:eastAsia="宋体" w:cs="宋体"/>
          <w:sz w:val="24"/>
          <w:szCs w:val="24"/>
        </w:rPr>
        <w:t>将各通道坐标映射至标准蒙特利尔神经科学研究所（MNI）脑空间模板，基于结构磁共振成像数据划分8个功能脑区（左右各四个）：前额叶皮层（prefrontal cortex, PFC）、背外侧前额叶（Dorsolateral Prefrontal Cortex,DLPFC）、辅助运动区（supplementary motor area, SMA）、皮层感觉运动区（Sensorimotor area of cortex, SAC）。各通道在标准脑空间的具体分布及其对应功能脑区归属详见表2.1所示。</w:t>
      </w:r>
    </w:p>
    <w:p w14:paraId="1319926B">
      <w:pPr>
        <w:pStyle w:val="27"/>
        <w:keepLines w:val="0"/>
        <w:pageBreakBefore w:val="0"/>
        <w:kinsoku/>
        <w:wordWrap/>
        <w:overflowPunct/>
        <w:topLinePunct w:val="0"/>
        <w:autoSpaceDE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表2.1  感兴趣脑区</w:t>
      </w:r>
    </w:p>
    <w:tbl>
      <w:tblPr>
        <w:tblStyle w:val="11"/>
        <w:tblW w:w="0" w:type="auto"/>
        <w:jc w:val="center"/>
        <w:tblLayout w:type="autofit"/>
        <w:tblCellMar>
          <w:top w:w="15" w:type="dxa"/>
          <w:left w:w="15" w:type="dxa"/>
          <w:bottom w:w="15" w:type="dxa"/>
          <w:right w:w="15" w:type="dxa"/>
        </w:tblCellMar>
      </w:tblPr>
      <w:tblGrid>
        <w:gridCol w:w="2252"/>
        <w:gridCol w:w="2020"/>
        <w:gridCol w:w="2510"/>
      </w:tblGrid>
      <w:tr w14:paraId="558DAF71">
        <w:tblPrEx>
          <w:tblCellMar>
            <w:top w:w="15" w:type="dxa"/>
            <w:left w:w="15" w:type="dxa"/>
            <w:bottom w:w="15" w:type="dxa"/>
            <w:right w:w="15" w:type="dxa"/>
          </w:tblCellMar>
        </w:tblPrEx>
        <w:trPr>
          <w:jc w:val="center"/>
        </w:trPr>
        <w:tc>
          <w:tcPr>
            <w:tcW w:w="2252" w:type="dxa"/>
            <w:tcBorders>
              <w:top w:val="single" w:color="auto" w:sz="4" w:space="0"/>
              <w:left w:val="nil"/>
              <w:bottom w:val="single" w:color="auto" w:sz="4" w:space="0"/>
              <w:right w:val="nil"/>
            </w:tcBorders>
            <w:tcMar>
              <w:top w:w="82" w:type="dxa"/>
              <w:left w:w="0" w:type="dxa"/>
              <w:bottom w:w="82" w:type="dxa"/>
              <w:right w:w="165" w:type="dxa"/>
            </w:tcMar>
            <w:vAlign w:val="center"/>
          </w:tcPr>
          <w:p w14:paraId="5712BFAE">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kern w:val="0"/>
                <w:sz w:val="24"/>
                <w:szCs w:val="24"/>
              </w:rPr>
              <w:t>脑区</w:t>
            </w:r>
          </w:p>
        </w:tc>
        <w:tc>
          <w:tcPr>
            <w:tcW w:w="2020" w:type="dxa"/>
            <w:tcBorders>
              <w:top w:val="single" w:color="auto" w:sz="4" w:space="0"/>
              <w:left w:val="nil"/>
              <w:bottom w:val="single" w:color="auto" w:sz="4" w:space="0"/>
              <w:right w:val="nil"/>
            </w:tcBorders>
            <w:tcMar>
              <w:top w:w="82" w:type="dxa"/>
              <w:left w:w="165" w:type="dxa"/>
              <w:bottom w:w="82" w:type="dxa"/>
              <w:right w:w="165" w:type="dxa"/>
            </w:tcMar>
            <w:vAlign w:val="center"/>
          </w:tcPr>
          <w:p w14:paraId="05504D05">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kern w:val="0"/>
                <w:sz w:val="24"/>
                <w:szCs w:val="24"/>
              </w:rPr>
              <w:t>左侧(left)通道编号</w:t>
            </w:r>
          </w:p>
        </w:tc>
        <w:tc>
          <w:tcPr>
            <w:tcW w:w="2510" w:type="dxa"/>
            <w:tcBorders>
              <w:top w:val="single" w:color="auto" w:sz="4" w:space="0"/>
              <w:left w:val="nil"/>
              <w:bottom w:val="single" w:color="auto" w:sz="4" w:space="0"/>
              <w:right w:val="nil"/>
            </w:tcBorders>
            <w:tcMar>
              <w:top w:w="82" w:type="dxa"/>
              <w:left w:w="165" w:type="dxa"/>
              <w:bottom w:w="82" w:type="dxa"/>
              <w:right w:w="165" w:type="dxa"/>
            </w:tcMar>
            <w:vAlign w:val="center"/>
          </w:tcPr>
          <w:p w14:paraId="74A769AB">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kern w:val="0"/>
                <w:sz w:val="24"/>
                <w:szCs w:val="24"/>
              </w:rPr>
              <w:t>右侧(Right)通道编号</w:t>
            </w:r>
          </w:p>
        </w:tc>
      </w:tr>
      <w:tr w14:paraId="132D74EB">
        <w:tblPrEx>
          <w:tblCellMar>
            <w:top w:w="15" w:type="dxa"/>
            <w:left w:w="15" w:type="dxa"/>
            <w:bottom w:w="15" w:type="dxa"/>
            <w:right w:w="15" w:type="dxa"/>
          </w:tblCellMar>
        </w:tblPrEx>
        <w:trPr>
          <w:jc w:val="center"/>
        </w:trPr>
        <w:tc>
          <w:tcPr>
            <w:tcW w:w="2252" w:type="dxa"/>
            <w:tcBorders>
              <w:top w:val="single" w:color="auto" w:sz="4" w:space="0"/>
              <w:left w:val="nil"/>
              <w:bottom w:val="nil"/>
              <w:right w:val="nil"/>
            </w:tcBorders>
            <w:tcMar>
              <w:top w:w="82" w:type="dxa"/>
              <w:left w:w="0" w:type="dxa"/>
              <w:bottom w:w="82" w:type="dxa"/>
              <w:right w:w="165" w:type="dxa"/>
            </w:tcMar>
            <w:vAlign w:val="center"/>
          </w:tcPr>
          <w:p w14:paraId="379078AA">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kern w:val="0"/>
                <w:sz w:val="24"/>
                <w:szCs w:val="24"/>
              </w:rPr>
              <w:t>前额叶皮层 (PFC)</w:t>
            </w:r>
          </w:p>
        </w:tc>
        <w:tc>
          <w:tcPr>
            <w:tcW w:w="2020" w:type="dxa"/>
            <w:tcBorders>
              <w:top w:val="single" w:color="auto" w:sz="4" w:space="0"/>
              <w:left w:val="nil"/>
              <w:bottom w:val="nil"/>
              <w:right w:val="nil"/>
            </w:tcBorders>
            <w:tcMar>
              <w:top w:w="82" w:type="dxa"/>
              <w:left w:w="165" w:type="dxa"/>
              <w:bottom w:w="82" w:type="dxa"/>
              <w:right w:w="165" w:type="dxa"/>
            </w:tcMar>
            <w:vAlign w:val="center"/>
          </w:tcPr>
          <w:p w14:paraId="3C71D9D7">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kern w:val="0"/>
                <w:sz w:val="24"/>
                <w:szCs w:val="24"/>
              </w:rPr>
              <w:t>1、2、5、6</w:t>
            </w:r>
          </w:p>
        </w:tc>
        <w:tc>
          <w:tcPr>
            <w:tcW w:w="2510" w:type="dxa"/>
            <w:tcBorders>
              <w:top w:val="single" w:color="auto" w:sz="4" w:space="0"/>
              <w:left w:val="nil"/>
              <w:bottom w:val="nil"/>
              <w:right w:val="nil"/>
            </w:tcBorders>
            <w:tcMar>
              <w:top w:w="82" w:type="dxa"/>
              <w:left w:w="165" w:type="dxa"/>
              <w:bottom w:w="82" w:type="dxa"/>
              <w:right w:w="165" w:type="dxa"/>
            </w:tcMar>
            <w:vAlign w:val="center"/>
          </w:tcPr>
          <w:p w14:paraId="76BEDCE7">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kern w:val="0"/>
                <w:sz w:val="24"/>
                <w:szCs w:val="24"/>
              </w:rPr>
              <w:t>3、4、7、8</w:t>
            </w:r>
          </w:p>
        </w:tc>
      </w:tr>
      <w:tr w14:paraId="02A67596">
        <w:tblPrEx>
          <w:tblCellMar>
            <w:top w:w="15" w:type="dxa"/>
            <w:left w:w="15" w:type="dxa"/>
            <w:bottom w:w="15" w:type="dxa"/>
            <w:right w:w="15" w:type="dxa"/>
          </w:tblCellMar>
        </w:tblPrEx>
        <w:trPr>
          <w:jc w:val="center"/>
        </w:trPr>
        <w:tc>
          <w:tcPr>
            <w:tcW w:w="2252" w:type="dxa"/>
            <w:tcBorders>
              <w:top w:val="nil"/>
              <w:left w:val="nil"/>
              <w:bottom w:val="nil"/>
              <w:right w:val="nil"/>
            </w:tcBorders>
            <w:tcMar>
              <w:top w:w="82" w:type="dxa"/>
              <w:left w:w="0" w:type="dxa"/>
              <w:bottom w:w="82" w:type="dxa"/>
              <w:right w:w="165" w:type="dxa"/>
            </w:tcMar>
            <w:vAlign w:val="center"/>
          </w:tcPr>
          <w:p w14:paraId="51EB1D88">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kern w:val="0"/>
                <w:sz w:val="24"/>
                <w:szCs w:val="24"/>
              </w:rPr>
              <w:t>背外侧前额叶皮层 (DLPFC)</w:t>
            </w:r>
          </w:p>
        </w:tc>
        <w:tc>
          <w:tcPr>
            <w:tcW w:w="2020" w:type="dxa"/>
            <w:tcBorders>
              <w:top w:val="nil"/>
              <w:left w:val="nil"/>
              <w:bottom w:val="nil"/>
              <w:right w:val="nil"/>
            </w:tcBorders>
            <w:tcMar>
              <w:top w:w="82" w:type="dxa"/>
              <w:left w:w="165" w:type="dxa"/>
              <w:bottom w:w="82" w:type="dxa"/>
              <w:right w:w="165" w:type="dxa"/>
            </w:tcMar>
            <w:vAlign w:val="center"/>
          </w:tcPr>
          <w:p w14:paraId="43D8D328">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kern w:val="0"/>
                <w:sz w:val="24"/>
                <w:szCs w:val="24"/>
              </w:rPr>
              <w:t>9、12、13</w:t>
            </w:r>
          </w:p>
        </w:tc>
        <w:tc>
          <w:tcPr>
            <w:tcW w:w="2510" w:type="dxa"/>
            <w:tcBorders>
              <w:top w:val="nil"/>
              <w:left w:val="nil"/>
              <w:bottom w:val="nil"/>
              <w:right w:val="nil"/>
            </w:tcBorders>
            <w:tcMar>
              <w:top w:w="82" w:type="dxa"/>
              <w:left w:w="165" w:type="dxa"/>
              <w:bottom w:w="82" w:type="dxa"/>
              <w:right w:w="165" w:type="dxa"/>
            </w:tcMar>
            <w:vAlign w:val="center"/>
          </w:tcPr>
          <w:p w14:paraId="70297CD2">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kern w:val="0"/>
                <w:sz w:val="24"/>
                <w:szCs w:val="24"/>
              </w:rPr>
              <w:t>20、21、24</w:t>
            </w:r>
          </w:p>
        </w:tc>
      </w:tr>
      <w:tr w14:paraId="44C0396F">
        <w:tblPrEx>
          <w:tblCellMar>
            <w:top w:w="15" w:type="dxa"/>
            <w:left w:w="15" w:type="dxa"/>
            <w:bottom w:w="15" w:type="dxa"/>
            <w:right w:w="15" w:type="dxa"/>
          </w:tblCellMar>
        </w:tblPrEx>
        <w:trPr>
          <w:jc w:val="center"/>
        </w:trPr>
        <w:tc>
          <w:tcPr>
            <w:tcW w:w="2252" w:type="dxa"/>
            <w:tcBorders>
              <w:top w:val="nil"/>
              <w:left w:val="nil"/>
              <w:bottom w:val="nil"/>
              <w:right w:val="nil"/>
            </w:tcBorders>
            <w:tcMar>
              <w:top w:w="82" w:type="dxa"/>
              <w:left w:w="0" w:type="dxa"/>
              <w:bottom w:w="82" w:type="dxa"/>
              <w:right w:w="165" w:type="dxa"/>
            </w:tcMar>
            <w:vAlign w:val="center"/>
          </w:tcPr>
          <w:p w14:paraId="46F9A12E">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kern w:val="0"/>
                <w:sz w:val="24"/>
                <w:szCs w:val="24"/>
              </w:rPr>
            </w:pPr>
            <w:r>
              <w:rPr>
                <w:rFonts w:hint="eastAsia" w:ascii="宋体" w:hAnsi="宋体" w:eastAsia="宋体" w:cs="宋体"/>
                <w:kern w:val="0"/>
                <w:sz w:val="24"/>
                <w:szCs w:val="24"/>
              </w:rPr>
              <w:t>辅助运动区 (SMC)</w:t>
            </w:r>
          </w:p>
        </w:tc>
        <w:tc>
          <w:tcPr>
            <w:tcW w:w="2020" w:type="dxa"/>
            <w:tcBorders>
              <w:top w:val="nil"/>
              <w:left w:val="nil"/>
              <w:bottom w:val="nil"/>
              <w:right w:val="nil"/>
            </w:tcBorders>
            <w:tcMar>
              <w:top w:w="82" w:type="dxa"/>
              <w:left w:w="165" w:type="dxa"/>
              <w:bottom w:w="82" w:type="dxa"/>
              <w:right w:w="165" w:type="dxa"/>
            </w:tcMar>
            <w:vAlign w:val="center"/>
          </w:tcPr>
          <w:p w14:paraId="71A94990">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kern w:val="0"/>
                <w:sz w:val="24"/>
                <w:szCs w:val="24"/>
              </w:rPr>
            </w:pPr>
            <w:r>
              <w:rPr>
                <w:rFonts w:hint="eastAsia" w:ascii="宋体" w:hAnsi="宋体" w:eastAsia="宋体" w:cs="宋体"/>
                <w:kern w:val="0"/>
                <w:sz w:val="24"/>
                <w:szCs w:val="24"/>
              </w:rPr>
              <w:t>10、11、14–17</w:t>
            </w:r>
          </w:p>
        </w:tc>
        <w:tc>
          <w:tcPr>
            <w:tcW w:w="2510" w:type="dxa"/>
            <w:tcBorders>
              <w:top w:val="nil"/>
              <w:left w:val="nil"/>
              <w:bottom w:val="nil"/>
              <w:right w:val="nil"/>
            </w:tcBorders>
            <w:tcMar>
              <w:top w:w="82" w:type="dxa"/>
              <w:left w:w="165" w:type="dxa"/>
              <w:bottom w:w="82" w:type="dxa"/>
              <w:right w:w="165" w:type="dxa"/>
            </w:tcMar>
            <w:vAlign w:val="center"/>
          </w:tcPr>
          <w:p w14:paraId="067800B8">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kern w:val="0"/>
                <w:sz w:val="24"/>
                <w:szCs w:val="24"/>
              </w:rPr>
            </w:pPr>
            <w:r>
              <w:rPr>
                <w:rFonts w:hint="eastAsia" w:ascii="宋体" w:hAnsi="宋体" w:eastAsia="宋体" w:cs="宋体"/>
                <w:kern w:val="0"/>
                <w:sz w:val="24"/>
                <w:szCs w:val="24"/>
              </w:rPr>
              <w:t>18、19、22、23、25、26</w:t>
            </w:r>
          </w:p>
        </w:tc>
      </w:tr>
      <w:tr w14:paraId="4CC8022D">
        <w:tblPrEx>
          <w:tblCellMar>
            <w:top w:w="15" w:type="dxa"/>
            <w:left w:w="15" w:type="dxa"/>
            <w:bottom w:w="15" w:type="dxa"/>
            <w:right w:w="15" w:type="dxa"/>
          </w:tblCellMar>
        </w:tblPrEx>
        <w:trPr>
          <w:jc w:val="center"/>
        </w:trPr>
        <w:tc>
          <w:tcPr>
            <w:tcW w:w="2252" w:type="dxa"/>
            <w:tcBorders>
              <w:top w:val="nil"/>
              <w:left w:val="nil"/>
              <w:bottom w:val="single" w:color="auto" w:sz="4" w:space="0"/>
              <w:right w:val="nil"/>
            </w:tcBorders>
            <w:tcMar>
              <w:top w:w="82" w:type="dxa"/>
              <w:left w:w="0" w:type="dxa"/>
              <w:bottom w:w="82" w:type="dxa"/>
              <w:right w:w="165" w:type="dxa"/>
            </w:tcMar>
            <w:vAlign w:val="center"/>
          </w:tcPr>
          <w:p w14:paraId="1D681FB5">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kern w:val="0"/>
                <w:sz w:val="24"/>
                <w:szCs w:val="24"/>
              </w:rPr>
            </w:pPr>
            <w:r>
              <w:rPr>
                <w:rFonts w:hint="eastAsia" w:ascii="宋体" w:hAnsi="宋体" w:eastAsia="宋体" w:cs="宋体"/>
                <w:kern w:val="0"/>
                <w:sz w:val="24"/>
                <w:szCs w:val="24"/>
              </w:rPr>
              <w:t>皮层感觉运动区 (SAC)</w:t>
            </w:r>
          </w:p>
        </w:tc>
        <w:tc>
          <w:tcPr>
            <w:tcW w:w="2020" w:type="dxa"/>
            <w:tcBorders>
              <w:top w:val="nil"/>
              <w:left w:val="nil"/>
              <w:bottom w:val="single" w:color="auto" w:sz="4" w:space="0"/>
              <w:right w:val="nil"/>
            </w:tcBorders>
            <w:tcMar>
              <w:top w:w="82" w:type="dxa"/>
              <w:left w:w="165" w:type="dxa"/>
              <w:bottom w:w="82" w:type="dxa"/>
              <w:right w:w="165" w:type="dxa"/>
            </w:tcMar>
            <w:vAlign w:val="center"/>
          </w:tcPr>
          <w:p w14:paraId="3E952810">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kern w:val="0"/>
                <w:sz w:val="24"/>
                <w:szCs w:val="24"/>
              </w:rPr>
            </w:pPr>
            <w:r>
              <w:rPr>
                <w:rFonts w:hint="eastAsia" w:ascii="宋体" w:hAnsi="宋体" w:eastAsia="宋体" w:cs="宋体"/>
                <w:kern w:val="0"/>
                <w:sz w:val="24"/>
                <w:szCs w:val="24"/>
              </w:rPr>
              <w:t>27–29、30、31、37</w:t>
            </w:r>
          </w:p>
        </w:tc>
        <w:tc>
          <w:tcPr>
            <w:tcW w:w="2510" w:type="dxa"/>
            <w:tcBorders>
              <w:top w:val="nil"/>
              <w:left w:val="nil"/>
              <w:bottom w:val="single" w:color="auto" w:sz="4" w:space="0"/>
              <w:right w:val="nil"/>
            </w:tcBorders>
            <w:tcMar>
              <w:top w:w="82" w:type="dxa"/>
              <w:left w:w="165" w:type="dxa"/>
              <w:bottom w:w="82" w:type="dxa"/>
              <w:right w:w="165" w:type="dxa"/>
            </w:tcMar>
            <w:vAlign w:val="center"/>
          </w:tcPr>
          <w:p w14:paraId="7B2EC853">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kern w:val="0"/>
                <w:sz w:val="24"/>
                <w:szCs w:val="24"/>
              </w:rPr>
            </w:pPr>
            <w:r>
              <w:rPr>
                <w:rFonts w:hint="eastAsia" w:ascii="宋体" w:hAnsi="宋体" w:eastAsia="宋体" w:cs="宋体"/>
                <w:kern w:val="0"/>
                <w:sz w:val="24"/>
                <w:szCs w:val="24"/>
              </w:rPr>
              <w:t>34–36、32、33、38</w:t>
            </w:r>
          </w:p>
        </w:tc>
      </w:tr>
    </w:tbl>
    <w:p w14:paraId="36A96C13">
      <w:pPr>
        <w:pStyle w:val="24"/>
        <w:keepLines w:val="0"/>
        <w:pageBreakBefore w:val="0"/>
        <w:kinsoku/>
        <w:wordWrap/>
        <w:overflowPunct/>
        <w:topLinePunct w:val="0"/>
        <w:autoSpaceDN/>
        <w:bidi w:val="0"/>
        <w:adjustRightInd w:val="0"/>
        <w:snapToGrid w:val="0"/>
        <w:spacing w:line="240" w:lineRule="auto"/>
        <w:ind w:left="0" w:leftChars="0" w:firstLine="480"/>
        <w:jc w:val="left"/>
        <w:rPr>
          <w:rFonts w:hint="eastAsia" w:ascii="宋体" w:hAnsi="宋体" w:eastAsia="宋体" w:cs="宋体"/>
          <w:sz w:val="24"/>
          <w:szCs w:val="24"/>
        </w:rPr>
      </w:pPr>
    </w:p>
    <w:p w14:paraId="45091E9A">
      <w:pPr>
        <w:pStyle w:val="24"/>
        <w:keepLines w:val="0"/>
        <w:pageBreakBefore w:val="0"/>
        <w:kinsoku/>
        <w:wordWrap/>
        <w:overflowPunct/>
        <w:topLinePunct w:val="0"/>
        <w:autoSpaceDN/>
        <w:bidi w:val="0"/>
        <w:adjustRightInd w:val="0"/>
        <w:snapToGrid w:val="0"/>
        <w:spacing w:line="240" w:lineRule="auto"/>
        <w:ind w:left="0" w:leftChars="0" w:firstLine="480"/>
        <w:jc w:val="left"/>
        <w:rPr>
          <w:rFonts w:hint="eastAsia" w:ascii="宋体" w:hAnsi="宋体" w:eastAsia="宋体" w:cs="宋体"/>
          <w:sz w:val="24"/>
          <w:szCs w:val="24"/>
        </w:rPr>
      </w:pPr>
    </w:p>
    <w:p w14:paraId="30085316">
      <w:pPr>
        <w:pStyle w:val="24"/>
        <w:keepLines w:val="0"/>
        <w:pageBreakBefore w:val="0"/>
        <w:kinsoku/>
        <w:wordWrap/>
        <w:overflowPunct/>
        <w:topLinePunct w:val="0"/>
        <w:autoSpaceDN/>
        <w:bidi w:val="0"/>
        <w:adjustRightInd w:val="0"/>
        <w:snapToGrid w:val="0"/>
        <w:spacing w:line="240" w:lineRule="auto"/>
        <w:ind w:left="0" w:leftChars="0" w:firstLine="480"/>
        <w:jc w:val="left"/>
        <w:rPr>
          <w:rFonts w:hint="eastAsia" w:ascii="宋体" w:hAnsi="宋体" w:eastAsia="宋体" w:cs="宋体"/>
          <w:color w:val="C00000"/>
          <w:sz w:val="24"/>
          <w:szCs w:val="24"/>
        </w:rPr>
      </w:pPr>
      <w:r>
        <w:rPr>
          <w:rFonts w:hint="eastAsia" w:ascii="宋体" w:hAnsi="宋体" w:eastAsia="宋体" w:cs="宋体"/>
          <w:sz w:val="24"/>
          <w:szCs w:val="24"/>
        </w:rPr>
        <w:t>研究者为受试者戴好光学头帽后，嘱患者坐于治疗桌前，治疗桌中间放一面60*80cm的镜子，患手戴气动式柔性手套放于镜子后面，健手戴数据手套放于镜子前面，让其放松，注意听取任务指令，待受试者熟悉实验环境后开始训练。</w:t>
      </w:r>
      <w:r>
        <w:rPr>
          <w:rFonts w:hint="eastAsia" w:ascii="宋体" w:hAnsi="宋体" w:eastAsia="宋体" w:cs="宋体"/>
          <w:sz w:val="24"/>
          <w:szCs w:val="24"/>
          <w:lang w:val="en-US" w:eastAsia="zh-CN"/>
        </w:rPr>
        <w:t>固定好fNIRS全脑帽和探头，采集</w:t>
      </w:r>
      <w:r>
        <w:rPr>
          <w:rFonts w:hint="eastAsia" w:ascii="宋体" w:hAnsi="宋体" w:cs="宋体"/>
          <w:sz w:val="24"/>
          <w:szCs w:val="24"/>
          <w:lang w:val="en-US" w:eastAsia="zh-CN"/>
        </w:rPr>
        <w:t>5</w:t>
      </w:r>
      <w:r>
        <w:rPr>
          <w:rFonts w:hint="eastAsia" w:ascii="宋体" w:hAnsi="宋体" w:eastAsia="宋体" w:cs="宋体"/>
          <w:sz w:val="24"/>
          <w:szCs w:val="24"/>
          <w:lang w:val="en-US" w:eastAsia="zh-CN"/>
        </w:rPr>
        <w:t>min受试者在安静状态下大脑血氧信号，</w:t>
      </w:r>
      <w:r>
        <w:rPr>
          <w:rFonts w:hint="eastAsia" w:ascii="宋体" w:hAnsi="宋体" w:cs="宋体"/>
          <w:sz w:val="24"/>
          <w:szCs w:val="24"/>
          <w:lang w:val="en-US" w:eastAsia="zh-CN"/>
        </w:rPr>
        <w:t>保存数据。然后进行任务态数据采集。</w:t>
      </w:r>
      <w:r>
        <w:rPr>
          <w:rFonts w:hint="eastAsia" w:ascii="宋体" w:hAnsi="宋体" w:eastAsia="宋体" w:cs="宋体"/>
          <w:sz w:val="24"/>
          <w:szCs w:val="24"/>
        </w:rPr>
        <w:t>患者根据指令的节奏，健侧手进行自动节奏（5Hz）的握拳动作</w:t>
      </w:r>
      <w:r>
        <w:rPr>
          <w:rFonts w:hint="eastAsia" w:ascii="宋体" w:hAnsi="宋体" w:cs="宋体"/>
          <w:sz w:val="24"/>
          <w:szCs w:val="24"/>
          <w:lang w:eastAsia="zh-CN"/>
        </w:rPr>
        <w:t>。</w:t>
      </w:r>
      <w:r>
        <w:rPr>
          <w:rFonts w:hint="eastAsia" w:ascii="宋体" w:hAnsi="宋体" w:eastAsia="宋体" w:cs="宋体"/>
          <w:color w:val="C00000"/>
          <w:sz w:val="24"/>
          <w:szCs w:val="24"/>
        </w:rPr>
        <w:t>患手根据健手的节奏被动握拳，包含6个任务周期，每个周期由15秒的任务期和20秒的静息期组成，总时长为210秒。运动过程由研究者全程监控。见图2.2- C。</w:t>
      </w:r>
    </w:p>
    <w:p w14:paraId="4A684B8F">
      <w:pPr>
        <w:keepLines w:val="0"/>
        <w:pageBreakBefore w:val="0"/>
        <w:widowControl/>
        <w:kinsoku/>
        <w:wordWrap/>
        <w:overflowPunct/>
        <w:topLinePunct w:val="0"/>
        <w:autoSpaceDN/>
        <w:bidi w:val="0"/>
        <w:spacing w:line="240" w:lineRule="auto"/>
        <w:ind w:left="0" w:leftChars="0" w:firstLine="480" w:firstLineChars="200"/>
        <w:jc w:val="left"/>
        <w:rPr>
          <w:rFonts w:hint="eastAsia" w:ascii="宋体" w:hAnsi="宋体" w:eastAsia="宋体" w:cs="宋体"/>
          <w:sz w:val="24"/>
          <w:szCs w:val="24"/>
        </w:rPr>
      </w:pPr>
      <w:r>
        <w:rPr>
          <w:rFonts w:hint="eastAsia" w:ascii="宋体" w:hAnsi="宋体" w:eastAsia="宋体" w:cs="宋体"/>
          <w:color w:val="C00000"/>
          <w:sz w:val="24"/>
          <w:szCs w:val="24"/>
        </w:rPr>
        <w:br w:type="textWrapping"/>
      </w:r>
      <w:r>
        <w:rPr>
          <w:rFonts w:hint="eastAsia" w:ascii="宋体" w:hAnsi="宋体" w:eastAsia="宋体" w:cs="宋体"/>
          <w:sz w:val="24"/>
          <w:szCs w:val="24"/>
        </w:rPr>
        <w:drawing>
          <wp:inline distT="0" distB="0" distL="0" distR="0">
            <wp:extent cx="3657600" cy="35052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657600" cy="3505200"/>
                    </a:xfrm>
                    <a:prstGeom prst="rect">
                      <a:avLst/>
                    </a:prstGeom>
                    <a:noFill/>
                    <a:ln>
                      <a:noFill/>
                    </a:ln>
                  </pic:spPr>
                </pic:pic>
              </a:graphicData>
            </a:graphic>
          </wp:inline>
        </w:drawing>
      </w:r>
    </w:p>
    <w:p w14:paraId="1E277B40">
      <w:pPr>
        <w:keepLines w:val="0"/>
        <w:pageBreakBefore w:val="0"/>
        <w:widowControl/>
        <w:kinsoku/>
        <w:wordWrap/>
        <w:overflowPunct/>
        <w:topLinePunct w:val="0"/>
        <w:autoSpaceDE w:val="0"/>
        <w:autoSpaceDN/>
        <w:bidi w:val="0"/>
        <w:spacing w:before="120" w:after="240"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图2.2 SD排布图、通道及任务设计</w:t>
      </w:r>
    </w:p>
    <w:p w14:paraId="6B7B09AD">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Cs/>
          <w:color w:val="auto"/>
          <w:sz w:val="24"/>
          <w:szCs w:val="24"/>
        </w:rPr>
      </w:pPr>
      <w:r>
        <w:rPr>
          <w:rFonts w:hint="eastAsia" w:ascii="宋体" w:hAnsi="宋体" w:eastAsia="宋体" w:cs="宋体"/>
          <w:bCs/>
          <w:color w:val="auto"/>
          <w:sz w:val="24"/>
          <w:szCs w:val="24"/>
        </w:rPr>
        <w:t>数据分析路径I：皮层激活</w:t>
      </w:r>
    </w:p>
    <w:p w14:paraId="6E7C78E9">
      <w:pPr>
        <w:pStyle w:val="10"/>
        <w:keepNext w:val="0"/>
        <w:keepLines w:val="0"/>
        <w:widowControl/>
        <w:suppressLineNumbers w:val="0"/>
        <w:shd w:val="clear" w:fill="FFFFFF"/>
        <w:spacing w:before="192" w:beforeAutospacing="0" w:after="192" w:afterAutospacing="0"/>
        <w:ind w:left="0" w:right="0" w:firstLine="0"/>
        <w:rPr>
          <w:rFonts w:hint="eastAsia" w:ascii="宋体" w:hAnsi="宋体" w:cs="宋体"/>
          <w:bCs/>
          <w:color w:val="auto"/>
          <w:sz w:val="24"/>
          <w:szCs w:val="24"/>
          <w:lang w:val="en-US" w:eastAsia="zh-CN"/>
        </w:rPr>
      </w:pPr>
      <w:r>
        <w:rPr>
          <w:rFonts w:hint="eastAsia" w:ascii="宋体" w:hAnsi="宋体" w:cs="宋体"/>
          <w:bCs/>
          <w:color w:val="auto"/>
          <w:sz w:val="24"/>
          <w:szCs w:val="24"/>
          <w:lang w:val="en-US" w:eastAsia="zh-CN"/>
        </w:rPr>
        <w:t>数据分析路径I：皮层激活预处理在Homer2（MATLAB）软件中完成。处理流程包括：(1)带通滤波（0.01–0.1 Hz）以消除生理噪声[50]；(2)强度值向光密度值转换；(3)计算HbO与HbR浓度变化[51]。针对HbO信号[40]，采用试验平均法以提升信噪比。为统一数据呈现方式，所有右侧病灶数据均转换至统一的左侧病灶方位[52]。组水平皮层激活信号被映射至标准化头皮拓扑图上。</w:t>
      </w:r>
    </w:p>
    <w:p w14:paraId="4354D594">
      <w:pPr>
        <w:pStyle w:val="24"/>
        <w:adjustRightInd w:val="0"/>
        <w:snapToGrid w:val="0"/>
        <w:spacing w:line="400" w:lineRule="exact"/>
        <w:ind w:left="0" w:leftChars="0" w:firstLine="0" w:firstLineChars="0"/>
        <w:rPr>
          <w:rFonts w:hint="eastAsia"/>
          <w:color w:val="auto"/>
          <w:sz w:val="24"/>
          <w:szCs w:val="24"/>
          <w:lang w:val="en-US" w:eastAsia="zh-CN"/>
        </w:rPr>
      </w:pPr>
      <w:r>
        <w:rPr>
          <w:rFonts w:hint="eastAsia"/>
          <w:color w:val="auto"/>
          <w:sz w:val="24"/>
          <w:szCs w:val="24"/>
          <w:lang w:val="en-US" w:eastAsia="zh-CN"/>
        </w:rPr>
        <w:t>数据分析路径II：脑网络</w:t>
      </w:r>
    </w:p>
    <w:p w14:paraId="0F880588">
      <w:pPr>
        <w:pStyle w:val="10"/>
        <w:keepNext w:val="0"/>
        <w:keepLines w:val="0"/>
        <w:widowControl/>
        <w:suppressLineNumbers w:val="0"/>
        <w:shd w:val="clear" w:fill="FFFFFF"/>
        <w:spacing w:before="192" w:beforeAutospacing="0" w:after="192" w:afterAutospacing="0"/>
        <w:ind w:left="0" w:right="0" w:firstLine="0"/>
        <w:rPr>
          <w:rFonts w:hint="eastAsia" w:ascii="Georgia" w:hAnsi="Georgia" w:cs="Georgia"/>
          <w:i w:val="0"/>
          <w:iCs w:val="0"/>
          <w:caps w:val="0"/>
          <w:color w:val="C00000"/>
          <w:spacing w:val="0"/>
          <w:sz w:val="21"/>
          <w:szCs w:val="21"/>
          <w:shd w:val="clear" w:fill="FFFFFF"/>
          <w:lang w:val="en-US" w:eastAsia="zh-CN"/>
        </w:rPr>
      </w:pPr>
      <w:r>
        <w:rPr>
          <w:rFonts w:hint="eastAsia" w:ascii="Georgia" w:hAnsi="Georgia" w:cs="Georgia"/>
          <w:i w:val="0"/>
          <w:iCs w:val="0"/>
          <w:caps w:val="0"/>
          <w:color w:val="C00000"/>
          <w:spacing w:val="0"/>
          <w:sz w:val="21"/>
          <w:szCs w:val="21"/>
          <w:shd w:val="clear" w:fill="FFFFFF"/>
          <w:lang w:val="en-US" w:eastAsia="zh-CN"/>
        </w:rPr>
        <w:t>另采用基于MNE-Python[36]的独立数据处理流程进行连接性分析。经过通道质量控制（头皮耦合指数）和插值处理后，数据被转换为HbO/HbR浓度[37]并进行带通滤波（0.05–0.2 Hz）。运动伪影通过tdDR方法[38]进行校正。信号被划分为-5至35秒时段，并以刺激前-5至0秒时段作为基线进行校正。对于 IGPT 条件，将摆动期与站立期的试验数据取平均值，以构建整个步态周期内的单一代表性血流动力学响应曲线。</w:t>
      </w:r>
    </w:p>
    <w:p w14:paraId="5755F0A8">
      <w:pPr>
        <w:keepLines w:val="0"/>
        <w:pageBreakBefore w:val="0"/>
        <w:kinsoku/>
        <w:wordWrap/>
        <w:overflowPunct/>
        <w:topLinePunct w:val="0"/>
        <w:autoSpaceDN/>
        <w:bidi w:val="0"/>
        <w:spacing w:before="480" w:after="120" w:line="240" w:lineRule="auto"/>
        <w:ind w:left="0" w:leftChars="0"/>
        <w:jc w:val="left"/>
        <w:outlineLvl w:val="0"/>
        <w:rPr>
          <w:rFonts w:hint="eastAsia" w:ascii="宋体" w:hAnsi="宋体" w:eastAsia="宋体" w:cs="宋体"/>
          <w:bCs/>
          <w:sz w:val="24"/>
          <w:szCs w:val="24"/>
        </w:rPr>
      </w:pPr>
      <w:r>
        <w:rPr>
          <w:rFonts w:hint="eastAsia" w:ascii="宋体" w:hAnsi="宋体" w:eastAsia="宋体" w:cs="宋体"/>
          <w:bCs/>
          <w:sz w:val="24"/>
          <w:szCs w:val="24"/>
        </w:rPr>
        <w:t>2.5 统计分析方法：</w:t>
      </w:r>
    </w:p>
    <w:p w14:paraId="17FB788C">
      <w:pPr>
        <w:keepNext w:val="0"/>
        <w:keepLines w:val="0"/>
        <w:widowControl/>
        <w:numPr>
          <w:ilvl w:val="0"/>
          <w:numId w:val="0"/>
        </w:numPr>
        <w:suppressLineNumbers w:val="0"/>
        <w:spacing w:before="0" w:beforeAutospacing="0" w:after="0" w:afterAutospacing="0"/>
        <w:ind w:firstLine="420" w:firstLineChars="200"/>
        <w:rPr>
          <w:rFonts w:hint="default" w:ascii="Georgia" w:hAnsi="Georgia" w:eastAsia="Georgia" w:cs="Georgia"/>
          <w:b w:val="0"/>
          <w:bCs w:val="0"/>
          <w:i w:val="0"/>
          <w:iCs w:val="0"/>
          <w:caps w:val="0"/>
          <w:color w:val="C00000"/>
          <w:spacing w:val="0"/>
          <w:kern w:val="2"/>
          <w:sz w:val="21"/>
          <w:szCs w:val="21"/>
          <w:shd w:val="clear" w:fill="FFFFFF"/>
          <w:lang w:val="en-US" w:eastAsia="zh-CN" w:bidi="ar-SA"/>
        </w:rPr>
      </w:pPr>
      <w:bookmarkStart w:id="1" w:name="_Toc93734162"/>
      <w:bookmarkEnd w:id="1"/>
      <w:r>
        <w:rPr>
          <w:rFonts w:hint="default" w:ascii="Georgia" w:hAnsi="Georgia" w:eastAsia="Georgia" w:cs="Georgia"/>
          <w:b w:val="0"/>
          <w:bCs w:val="0"/>
          <w:i w:val="0"/>
          <w:iCs w:val="0"/>
          <w:caps w:val="0"/>
          <w:color w:val="auto"/>
          <w:spacing w:val="0"/>
          <w:kern w:val="2"/>
          <w:sz w:val="21"/>
          <w:szCs w:val="21"/>
          <w:shd w:val="clear" w:fill="FFFFFF"/>
          <w:lang w:val="en-US" w:eastAsia="zh-CN" w:bidi="ar-SA"/>
        </w:rPr>
        <w:t>数据采用IBM SPSS Statistics 26.0版本进行分析。临床变量（连续变量的均值±标准差</w:t>
      </w:r>
      <w:r>
        <w:rPr>
          <w:rFonts w:hint="eastAsia" w:ascii="Georgia" w:hAnsi="Georgia" w:eastAsia="Georgia" w:cs="Georgia"/>
          <w:b w:val="0"/>
          <w:bCs w:val="0"/>
          <w:i w:val="0"/>
          <w:iCs w:val="0"/>
          <w:caps w:val="0"/>
          <w:color w:val="auto"/>
          <w:spacing w:val="0"/>
          <w:kern w:val="2"/>
          <w:sz w:val="21"/>
          <w:szCs w:val="21"/>
          <w:shd w:val="clear" w:fill="FFFFFF"/>
          <w:lang w:val="en-US" w:eastAsia="zh-CN" w:bidi="ar-SA"/>
        </w:rPr>
        <w:t>或者</w:t>
      </w:r>
      <w:r>
        <w:rPr>
          <w:rFonts w:hint="eastAsia" w:ascii="宋体" w:hAnsi="宋体" w:eastAsia="宋体" w:cs="宋体"/>
          <w:sz w:val="24"/>
          <w:szCs w:val="24"/>
          <w:lang w:val="en-US" w:eastAsia="zh-CN"/>
        </w:rPr>
        <w:t>中位数（P25，P75）[M（Q1，Q3）]表示数据特征</w:t>
      </w:r>
      <w:r>
        <w:rPr>
          <w:rFonts w:hint="eastAsia" w:cs="宋体"/>
          <w:sz w:val="24"/>
          <w:szCs w:val="24"/>
          <w:lang w:val="en-US" w:eastAsia="zh-CN"/>
        </w:rPr>
        <w:t>），</w:t>
      </w:r>
      <w:r>
        <w:rPr>
          <w:rFonts w:hint="default" w:ascii="Georgia" w:hAnsi="Georgia" w:eastAsia="Georgia" w:cs="Georgia"/>
          <w:b w:val="0"/>
          <w:bCs w:val="0"/>
          <w:i w:val="0"/>
          <w:iCs w:val="0"/>
          <w:caps w:val="0"/>
          <w:color w:val="auto"/>
          <w:spacing w:val="0"/>
          <w:kern w:val="2"/>
          <w:sz w:val="21"/>
          <w:szCs w:val="21"/>
          <w:shd w:val="clear" w:fill="FFFFFF"/>
          <w:lang w:val="en-US" w:eastAsia="zh-CN" w:bidi="ar-SA"/>
        </w:rPr>
        <w:t>采用</w:t>
      </w:r>
      <w:r>
        <w:rPr>
          <w:rFonts w:hint="eastAsia" w:ascii="宋体" w:hAnsi="宋体" w:eastAsia="宋体" w:cs="宋体"/>
          <w:sz w:val="24"/>
          <w:szCs w:val="24"/>
          <w:lang w:val="en-US" w:eastAsia="zh-CN"/>
        </w:rPr>
        <w:t>采用卡方检验或独立样本方差分析</w:t>
      </w:r>
      <w:r>
        <w:rPr>
          <w:rFonts w:hint="eastAsia" w:cs="宋体"/>
          <w:sz w:val="24"/>
          <w:szCs w:val="24"/>
          <w:lang w:val="en-US" w:eastAsia="zh-CN"/>
        </w:rPr>
        <w:t>、</w:t>
      </w:r>
      <w:r>
        <w:rPr>
          <w:rFonts w:hint="default" w:ascii="Georgia" w:hAnsi="Georgia" w:eastAsia="Georgia" w:cs="Georgia"/>
          <w:b w:val="0"/>
          <w:bCs w:val="0"/>
          <w:i w:val="0"/>
          <w:iCs w:val="0"/>
          <w:caps w:val="0"/>
          <w:color w:val="auto"/>
          <w:spacing w:val="0"/>
          <w:kern w:val="2"/>
          <w:sz w:val="21"/>
          <w:szCs w:val="21"/>
          <w:shd w:val="clear" w:fill="FFFFFF"/>
          <w:lang w:val="en-US" w:eastAsia="zh-CN" w:bidi="ar-SA"/>
        </w:rPr>
        <w:t>配对t检验或Wilcoxon匹配对签名秩检验进行比较。</w:t>
      </w:r>
      <w:r>
        <w:rPr>
          <w:rFonts w:hint="eastAsia" w:ascii="宋体" w:hAnsi="宋体" w:eastAsia="宋体" w:cs="宋体"/>
          <w:sz w:val="24"/>
          <w:szCs w:val="24"/>
          <w:lang w:val="en-US" w:eastAsia="zh-CN"/>
        </w:rPr>
        <w:t>当 P＜0.05 时，则表示差异具有统计学意义。</w:t>
      </w:r>
      <w:r>
        <w:rPr>
          <w:rFonts w:hint="default" w:ascii="Georgia" w:hAnsi="Georgia" w:eastAsia="Georgia" w:cs="Georgia"/>
          <w:b w:val="0"/>
          <w:bCs w:val="0"/>
          <w:i w:val="0"/>
          <w:iCs w:val="0"/>
          <w:caps w:val="0"/>
          <w:color w:val="C00000"/>
          <w:spacing w:val="0"/>
          <w:kern w:val="2"/>
          <w:sz w:val="21"/>
          <w:szCs w:val="21"/>
          <w:shd w:val="clear" w:fill="FFFFFF"/>
          <w:lang w:val="en-US" w:eastAsia="zh-CN" w:bidi="ar-SA"/>
        </w:rPr>
        <w:t>关于fNIRS数据分析，采用配对t检验比较每个通道静息与SMT干预中平均的∆HbO2振幅。多重比较采用了假发现率（FDR）修正。统计显著性在p &lt; 0.05处确定。</w:t>
      </w:r>
    </w:p>
    <w:p w14:paraId="22C2C929">
      <w:pPr>
        <w:pStyle w:val="4"/>
        <w:keepNext w:val="0"/>
        <w:keepLines w:val="0"/>
        <w:pageBreakBefore w:val="0"/>
        <w:widowControl/>
        <w:suppressLineNumbers w:val="0"/>
        <w:shd w:val="clear" w:fill="FFFFFF"/>
        <w:kinsoku/>
        <w:wordWrap/>
        <w:overflowPunct/>
        <w:topLinePunct w:val="0"/>
        <w:autoSpaceDN/>
        <w:bidi w:val="0"/>
        <w:spacing w:before="384" w:beforeAutospacing="0" w:after="192" w:afterAutospacing="0" w:line="240" w:lineRule="auto"/>
        <w:ind w:left="0" w:leftChars="0" w:right="0" w:firstLine="0"/>
        <w:jc w:val="center"/>
        <w:rPr>
          <w:rFonts w:hint="eastAsia" w:ascii="Georgia" w:hAnsi="Georgia" w:eastAsia="Georgia" w:cs="Georgia"/>
          <w:b w:val="0"/>
          <w:bCs w:val="0"/>
          <w:i w:val="0"/>
          <w:iCs w:val="0"/>
          <w:caps w:val="0"/>
          <w:color w:val="auto"/>
          <w:spacing w:val="0"/>
          <w:kern w:val="2"/>
          <w:sz w:val="28"/>
          <w:szCs w:val="28"/>
          <w:shd w:val="clear" w:fill="FFFFFF"/>
          <w:lang w:val="en-US" w:eastAsia="zh-CN" w:bidi="ar-SA"/>
        </w:rPr>
      </w:pPr>
      <w:r>
        <w:rPr>
          <w:rFonts w:hint="eastAsia" w:ascii="Georgia" w:hAnsi="Georgia" w:eastAsia="Georgia" w:cs="Georgia"/>
          <w:b w:val="0"/>
          <w:bCs w:val="0"/>
          <w:i w:val="0"/>
          <w:iCs w:val="0"/>
          <w:caps w:val="0"/>
          <w:color w:val="auto"/>
          <w:spacing w:val="0"/>
          <w:kern w:val="2"/>
          <w:sz w:val="28"/>
          <w:szCs w:val="28"/>
          <w:shd w:val="clear" w:fill="FFFFFF"/>
          <w:lang w:val="en-US" w:eastAsia="zh-CN" w:bidi="ar-SA"/>
        </w:rPr>
        <w:t>Results</w:t>
      </w:r>
    </w:p>
    <w:p w14:paraId="247CD440">
      <w:pPr>
        <w:keepLines w:val="0"/>
        <w:pageBreakBefore w:val="0"/>
        <w:kinsoku/>
        <w:wordWrap/>
        <w:overflowPunct/>
        <w:topLinePunct w:val="0"/>
        <w:autoSpaceDN/>
        <w:bidi w:val="0"/>
        <w:spacing w:before="480" w:after="120" w:line="240" w:lineRule="auto"/>
        <w:ind w:left="0" w:leftChars="0"/>
        <w:jc w:val="left"/>
        <w:outlineLvl w:val="0"/>
        <w:rPr>
          <w:rFonts w:hint="eastAsia" w:ascii="宋体" w:hAnsi="宋体" w:eastAsia="宋体" w:cs="宋体"/>
          <w:bCs/>
          <w:sz w:val="24"/>
          <w:szCs w:val="24"/>
        </w:rPr>
      </w:pPr>
      <w:bookmarkStart w:id="94" w:name="_GoBack"/>
      <w:r>
        <w:rPr>
          <w:rFonts w:hint="eastAsia" w:ascii="宋体" w:hAnsi="宋体" w:eastAsia="宋体" w:cs="宋体"/>
          <w:bCs/>
          <w:sz w:val="24"/>
          <w:szCs w:val="24"/>
        </w:rPr>
        <w:t>3.1 一般资料比较</w:t>
      </w:r>
    </w:p>
    <w:p w14:paraId="63E773AA">
      <w:pPr>
        <w:keepLines w:val="0"/>
        <w:pageBreakBefore w:val="0"/>
        <w:kinsoku/>
        <w:wordWrap/>
        <w:overflowPunct/>
        <w:topLinePunct w:val="0"/>
        <w:autoSpaceDN/>
        <w:bidi w:val="0"/>
        <w:spacing w:line="240" w:lineRule="auto"/>
        <w:ind w:left="0" w:leftChars="0" w:firstLine="480" w:firstLineChars="200"/>
        <w:jc w:val="left"/>
        <w:rPr>
          <w:rFonts w:hint="eastAsia" w:ascii="宋体" w:hAnsi="宋体" w:eastAsia="宋体" w:cs="宋体"/>
          <w:sz w:val="24"/>
          <w:szCs w:val="24"/>
        </w:rPr>
      </w:pPr>
      <w:r>
        <w:rPr>
          <w:rFonts w:hint="eastAsia" w:ascii="宋体" w:hAnsi="宋体" w:eastAsia="宋体" w:cs="宋体"/>
          <w:sz w:val="24"/>
          <w:szCs w:val="24"/>
        </w:rPr>
        <w:t>经单因素方差分析检验，四组受试者在性别构成、年龄分布、病程时间等基线特征方面均无统计学差异（P&gt;0.05），证实组间基线资料具有可比性。详细人口学资料及临床特征的分析方法和实施原则参见。详细数据请参见表 3.1。</w:t>
      </w:r>
    </w:p>
    <w:p w14:paraId="414D277C">
      <w:pPr>
        <w:pStyle w:val="27"/>
        <w:keepLines w:val="0"/>
        <w:pageBreakBefore w:val="0"/>
        <w:kinsoku/>
        <w:wordWrap/>
        <w:overflowPunct/>
        <w:topLinePunct w:val="0"/>
        <w:autoSpaceDE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表 3.1 4组受试者一般资料比较</w:t>
      </w:r>
    </w:p>
    <w:tbl>
      <w:tblPr>
        <w:tblStyle w:val="11"/>
        <w:tblW w:w="5484" w:type="pct"/>
        <w:tblInd w:w="0" w:type="dxa"/>
        <w:tblLayout w:type="fixed"/>
        <w:tblCellMar>
          <w:top w:w="0" w:type="dxa"/>
          <w:left w:w="108" w:type="dxa"/>
          <w:bottom w:w="0" w:type="dxa"/>
          <w:right w:w="108" w:type="dxa"/>
        </w:tblCellMar>
      </w:tblPr>
      <w:tblGrid>
        <w:gridCol w:w="811"/>
        <w:gridCol w:w="476"/>
        <w:gridCol w:w="802"/>
        <w:gridCol w:w="1011"/>
        <w:gridCol w:w="938"/>
        <w:gridCol w:w="1766"/>
        <w:gridCol w:w="1670"/>
        <w:gridCol w:w="1881"/>
      </w:tblGrid>
      <w:tr w14:paraId="1C020374">
        <w:tblPrEx>
          <w:tblCellMar>
            <w:top w:w="0" w:type="dxa"/>
            <w:left w:w="108" w:type="dxa"/>
            <w:bottom w:w="0" w:type="dxa"/>
            <w:right w:w="108" w:type="dxa"/>
          </w:tblCellMar>
        </w:tblPrEx>
        <w:trPr>
          <w:trHeight w:val="384" w:hRule="atLeast"/>
        </w:trPr>
        <w:tc>
          <w:tcPr>
            <w:tcW w:w="807" w:type="dxa"/>
            <w:vMerge w:val="restart"/>
            <w:tcBorders>
              <w:top w:val="single" w:color="000000" w:sz="8" w:space="0"/>
              <w:left w:val="nil"/>
              <w:bottom w:val="single" w:color="000000" w:sz="8" w:space="0"/>
              <w:right w:val="nil"/>
            </w:tcBorders>
            <w:noWrap/>
            <w:vAlign w:val="center"/>
          </w:tcPr>
          <w:p w14:paraId="47F09B02">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组别</w:t>
            </w:r>
          </w:p>
        </w:tc>
        <w:tc>
          <w:tcPr>
            <w:tcW w:w="472" w:type="dxa"/>
            <w:vMerge w:val="restart"/>
            <w:tcBorders>
              <w:top w:val="single" w:color="000000" w:sz="8" w:space="0"/>
              <w:left w:val="nil"/>
              <w:bottom w:val="single" w:color="000000" w:sz="8" w:space="0"/>
              <w:right w:val="nil"/>
            </w:tcBorders>
            <w:noWrap/>
            <w:vAlign w:val="center"/>
          </w:tcPr>
          <w:p w14:paraId="74778932">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例数</w:t>
            </w:r>
          </w:p>
        </w:tc>
        <w:tc>
          <w:tcPr>
            <w:tcW w:w="800" w:type="dxa"/>
            <w:tcBorders>
              <w:top w:val="single" w:color="000000" w:sz="8" w:space="0"/>
              <w:left w:val="nil"/>
              <w:bottom w:val="nil"/>
              <w:right w:val="nil"/>
            </w:tcBorders>
            <w:noWrap/>
            <w:vAlign w:val="center"/>
          </w:tcPr>
          <w:p w14:paraId="28D72B77">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性别</w:t>
            </w:r>
          </w:p>
        </w:tc>
        <w:tc>
          <w:tcPr>
            <w:tcW w:w="1010" w:type="dxa"/>
            <w:tcBorders>
              <w:top w:val="single" w:color="000000" w:sz="8" w:space="0"/>
              <w:left w:val="nil"/>
              <w:bottom w:val="nil"/>
              <w:right w:val="nil"/>
            </w:tcBorders>
            <w:noWrap/>
            <w:vAlign w:val="center"/>
          </w:tcPr>
          <w:p w14:paraId="61AB4813">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诊断</w:t>
            </w:r>
          </w:p>
        </w:tc>
        <w:tc>
          <w:tcPr>
            <w:tcW w:w="936" w:type="dxa"/>
            <w:tcBorders>
              <w:top w:val="single" w:color="000000" w:sz="8" w:space="0"/>
              <w:left w:val="nil"/>
              <w:bottom w:val="nil"/>
              <w:right w:val="nil"/>
            </w:tcBorders>
            <w:noWrap/>
            <w:vAlign w:val="center"/>
          </w:tcPr>
          <w:p w14:paraId="02F8E490">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病灶</w:t>
            </w:r>
          </w:p>
        </w:tc>
        <w:tc>
          <w:tcPr>
            <w:tcW w:w="1770" w:type="dxa"/>
            <w:tcBorders>
              <w:top w:val="single" w:color="000000" w:sz="8" w:space="0"/>
              <w:left w:val="nil"/>
              <w:bottom w:val="nil"/>
              <w:right w:val="nil"/>
            </w:tcBorders>
            <w:noWrap/>
            <w:vAlign w:val="center"/>
          </w:tcPr>
          <w:p w14:paraId="21650BC1">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年龄（岁）</w:t>
            </w:r>
          </w:p>
        </w:tc>
        <w:tc>
          <w:tcPr>
            <w:tcW w:w="1674" w:type="dxa"/>
            <w:tcBorders>
              <w:top w:val="single" w:color="000000" w:sz="8" w:space="0"/>
              <w:left w:val="nil"/>
              <w:bottom w:val="nil"/>
              <w:right w:val="nil"/>
            </w:tcBorders>
            <w:noWrap/>
            <w:vAlign w:val="center"/>
          </w:tcPr>
          <w:p w14:paraId="3C80C1BC">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病程（天）</w:t>
            </w:r>
          </w:p>
        </w:tc>
        <w:tc>
          <w:tcPr>
            <w:tcW w:w="1886" w:type="dxa"/>
            <w:tcBorders>
              <w:top w:val="single" w:color="000000" w:sz="8" w:space="0"/>
              <w:left w:val="nil"/>
              <w:bottom w:val="nil"/>
              <w:right w:val="nil"/>
            </w:tcBorders>
            <w:noWrap/>
            <w:vAlign w:val="center"/>
          </w:tcPr>
          <w:p w14:paraId="329512E1">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MMSE评（分）</w:t>
            </w:r>
          </w:p>
        </w:tc>
      </w:tr>
      <w:tr w14:paraId="536A7ADC">
        <w:tblPrEx>
          <w:tblCellMar>
            <w:top w:w="0" w:type="dxa"/>
            <w:left w:w="108" w:type="dxa"/>
            <w:bottom w:w="0" w:type="dxa"/>
            <w:right w:w="108" w:type="dxa"/>
          </w:tblCellMar>
        </w:tblPrEx>
        <w:trPr>
          <w:trHeight w:val="384" w:hRule="atLeast"/>
        </w:trPr>
        <w:tc>
          <w:tcPr>
            <w:tcW w:w="807" w:type="dxa"/>
            <w:vMerge w:val="continue"/>
            <w:tcBorders>
              <w:top w:val="single" w:color="000000" w:sz="8" w:space="0"/>
              <w:left w:val="nil"/>
              <w:bottom w:val="single" w:color="000000" w:sz="8" w:space="0"/>
              <w:right w:val="nil"/>
            </w:tcBorders>
            <w:vAlign w:val="center"/>
          </w:tcPr>
          <w:p w14:paraId="144B3815">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sz w:val="24"/>
                <w:szCs w:val="24"/>
              </w:rPr>
            </w:pPr>
          </w:p>
        </w:tc>
        <w:tc>
          <w:tcPr>
            <w:tcW w:w="472" w:type="dxa"/>
            <w:vMerge w:val="continue"/>
            <w:tcBorders>
              <w:top w:val="single" w:color="000000" w:sz="8" w:space="0"/>
              <w:left w:val="nil"/>
              <w:bottom w:val="single" w:color="000000" w:sz="8" w:space="0"/>
              <w:right w:val="nil"/>
            </w:tcBorders>
            <w:vAlign w:val="center"/>
          </w:tcPr>
          <w:p w14:paraId="24B34749">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sz w:val="24"/>
                <w:szCs w:val="24"/>
              </w:rPr>
            </w:pPr>
          </w:p>
        </w:tc>
        <w:tc>
          <w:tcPr>
            <w:tcW w:w="800" w:type="dxa"/>
            <w:tcBorders>
              <w:top w:val="single" w:color="000000" w:sz="8" w:space="0"/>
              <w:left w:val="nil"/>
              <w:bottom w:val="single" w:color="000000" w:sz="8" w:space="0"/>
              <w:right w:val="nil"/>
            </w:tcBorders>
            <w:noWrap/>
            <w:vAlign w:val="center"/>
          </w:tcPr>
          <w:p w14:paraId="0CC28434">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男/女（例）</w:t>
            </w:r>
          </w:p>
        </w:tc>
        <w:tc>
          <w:tcPr>
            <w:tcW w:w="1010" w:type="dxa"/>
            <w:tcBorders>
              <w:top w:val="single" w:color="000000" w:sz="8" w:space="0"/>
              <w:left w:val="nil"/>
              <w:bottom w:val="single" w:color="000000" w:sz="8" w:space="0"/>
              <w:right w:val="nil"/>
            </w:tcBorders>
            <w:noWrap/>
            <w:vAlign w:val="center"/>
          </w:tcPr>
          <w:p w14:paraId="1D5679B6">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梗死/出血（例）</w:t>
            </w:r>
          </w:p>
        </w:tc>
        <w:tc>
          <w:tcPr>
            <w:tcW w:w="936" w:type="dxa"/>
            <w:tcBorders>
              <w:top w:val="single" w:color="000000" w:sz="8" w:space="0"/>
              <w:left w:val="nil"/>
              <w:bottom w:val="single" w:color="000000" w:sz="8" w:space="0"/>
              <w:right w:val="nil"/>
            </w:tcBorders>
            <w:noWrap/>
            <w:vAlign w:val="center"/>
          </w:tcPr>
          <w:p w14:paraId="19880526">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左/右（例）</w:t>
            </w:r>
          </w:p>
        </w:tc>
        <w:tc>
          <w:tcPr>
            <w:tcW w:w="1770" w:type="dxa"/>
            <w:tcBorders>
              <w:top w:val="single" w:color="000000" w:sz="8" w:space="0"/>
              <w:left w:val="nil"/>
              <w:bottom w:val="single" w:color="000000" w:sz="8" w:space="0"/>
              <w:right w:val="nil"/>
            </w:tcBorders>
            <w:noWrap/>
            <w:vAlign w:val="center"/>
          </w:tcPr>
          <w:p w14:paraId="123A47F7">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position w:val="-6"/>
                <w:sz w:val="24"/>
                <w:szCs w:val="24"/>
              </w:rPr>
              <w:drawing>
                <wp:inline distT="0" distB="0" distL="0" distR="0">
                  <wp:extent cx="312420" cy="2743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12420" cy="274320"/>
                          </a:xfrm>
                          <a:prstGeom prst="rect">
                            <a:avLst/>
                          </a:prstGeom>
                          <a:noFill/>
                          <a:ln>
                            <a:noFill/>
                          </a:ln>
                        </pic:spPr>
                      </pic:pic>
                    </a:graphicData>
                  </a:graphic>
                </wp:inline>
              </w:drawing>
            </w:r>
            <w:r>
              <w:rPr>
                <w:rFonts w:hint="eastAsia" w:ascii="宋体" w:hAnsi="宋体" w:eastAsia="宋体" w:cs="宋体"/>
                <w:sz w:val="24"/>
                <w:szCs w:val="24"/>
              </w:rPr>
              <w:t>]</w:t>
            </w:r>
          </w:p>
        </w:tc>
        <w:tc>
          <w:tcPr>
            <w:tcW w:w="1674" w:type="dxa"/>
            <w:tcBorders>
              <w:top w:val="single" w:color="000000" w:sz="8" w:space="0"/>
              <w:left w:val="nil"/>
              <w:bottom w:val="single" w:color="000000" w:sz="8" w:space="0"/>
              <w:right w:val="nil"/>
            </w:tcBorders>
            <w:noWrap/>
            <w:vAlign w:val="center"/>
          </w:tcPr>
          <w:p w14:paraId="60E79B4E">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 xml:space="preserve"> M(P25,P75)</w:t>
            </w:r>
          </w:p>
        </w:tc>
        <w:tc>
          <w:tcPr>
            <w:tcW w:w="1886" w:type="dxa"/>
            <w:tcBorders>
              <w:top w:val="single" w:color="000000" w:sz="8" w:space="0"/>
              <w:left w:val="nil"/>
              <w:bottom w:val="single" w:color="000000" w:sz="8" w:space="0"/>
              <w:right w:val="nil"/>
            </w:tcBorders>
            <w:noWrap/>
            <w:vAlign w:val="center"/>
          </w:tcPr>
          <w:p w14:paraId="303DF19A">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 xml:space="preserve"> M(P25,P75)</w:t>
            </w:r>
          </w:p>
        </w:tc>
      </w:tr>
      <w:tr w14:paraId="64426D4B">
        <w:tblPrEx>
          <w:tblCellMar>
            <w:top w:w="0" w:type="dxa"/>
            <w:left w:w="108" w:type="dxa"/>
            <w:bottom w:w="0" w:type="dxa"/>
            <w:right w:w="108" w:type="dxa"/>
          </w:tblCellMar>
        </w:tblPrEx>
        <w:trPr>
          <w:trHeight w:val="640" w:hRule="atLeast"/>
        </w:trPr>
        <w:tc>
          <w:tcPr>
            <w:tcW w:w="807" w:type="dxa"/>
            <w:tcBorders>
              <w:top w:val="nil"/>
              <w:left w:val="nil"/>
              <w:bottom w:val="nil"/>
              <w:right w:val="nil"/>
            </w:tcBorders>
            <w:noWrap/>
            <w:vAlign w:val="center"/>
          </w:tcPr>
          <w:p w14:paraId="36F82290">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对照组</w:t>
            </w:r>
          </w:p>
        </w:tc>
        <w:tc>
          <w:tcPr>
            <w:tcW w:w="472" w:type="dxa"/>
            <w:tcBorders>
              <w:top w:val="nil"/>
              <w:left w:val="nil"/>
              <w:bottom w:val="nil"/>
              <w:right w:val="nil"/>
            </w:tcBorders>
            <w:noWrap/>
            <w:vAlign w:val="center"/>
          </w:tcPr>
          <w:p w14:paraId="6852C394">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20</w:t>
            </w:r>
          </w:p>
        </w:tc>
        <w:tc>
          <w:tcPr>
            <w:tcW w:w="800" w:type="dxa"/>
            <w:tcBorders>
              <w:top w:val="nil"/>
              <w:left w:val="nil"/>
              <w:bottom w:val="nil"/>
              <w:right w:val="nil"/>
            </w:tcBorders>
            <w:noWrap/>
            <w:vAlign w:val="center"/>
          </w:tcPr>
          <w:p w14:paraId="4A25F9BA">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14/6</w:t>
            </w:r>
          </w:p>
        </w:tc>
        <w:tc>
          <w:tcPr>
            <w:tcW w:w="1010" w:type="dxa"/>
            <w:tcBorders>
              <w:top w:val="nil"/>
              <w:left w:val="nil"/>
              <w:bottom w:val="nil"/>
              <w:right w:val="nil"/>
            </w:tcBorders>
            <w:noWrap/>
            <w:vAlign w:val="center"/>
          </w:tcPr>
          <w:p w14:paraId="2DEA432A">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14/6</w:t>
            </w:r>
          </w:p>
        </w:tc>
        <w:tc>
          <w:tcPr>
            <w:tcW w:w="936" w:type="dxa"/>
            <w:tcBorders>
              <w:top w:val="nil"/>
              <w:left w:val="nil"/>
              <w:bottom w:val="nil"/>
              <w:right w:val="nil"/>
            </w:tcBorders>
            <w:noWrap/>
            <w:vAlign w:val="center"/>
          </w:tcPr>
          <w:p w14:paraId="0F1F7FFF">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10/10</w:t>
            </w:r>
          </w:p>
        </w:tc>
        <w:tc>
          <w:tcPr>
            <w:tcW w:w="1770" w:type="dxa"/>
            <w:tcBorders>
              <w:top w:val="nil"/>
              <w:left w:val="nil"/>
              <w:bottom w:val="nil"/>
              <w:right w:val="nil"/>
            </w:tcBorders>
            <w:noWrap/>
            <w:vAlign w:val="center"/>
          </w:tcPr>
          <w:p w14:paraId="467E1607">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59.40±10.65</w:t>
            </w:r>
          </w:p>
        </w:tc>
        <w:tc>
          <w:tcPr>
            <w:tcW w:w="1674" w:type="dxa"/>
            <w:tcBorders>
              <w:top w:val="nil"/>
              <w:left w:val="nil"/>
              <w:bottom w:val="nil"/>
              <w:right w:val="nil"/>
            </w:tcBorders>
            <w:noWrap/>
            <w:vAlign w:val="center"/>
          </w:tcPr>
          <w:p w14:paraId="6E1FF3D1">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28.00(11.00,51.00)</w:t>
            </w:r>
          </w:p>
        </w:tc>
        <w:tc>
          <w:tcPr>
            <w:tcW w:w="1886" w:type="dxa"/>
            <w:tcBorders>
              <w:top w:val="nil"/>
              <w:left w:val="nil"/>
              <w:bottom w:val="nil"/>
              <w:right w:val="nil"/>
            </w:tcBorders>
            <w:noWrap/>
            <w:vAlign w:val="center"/>
          </w:tcPr>
          <w:p w14:paraId="5AD97AA2">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27.00(20.00,30.00)</w:t>
            </w:r>
          </w:p>
        </w:tc>
      </w:tr>
      <w:tr w14:paraId="5C32EADF">
        <w:tblPrEx>
          <w:tblCellMar>
            <w:top w:w="0" w:type="dxa"/>
            <w:left w:w="108" w:type="dxa"/>
            <w:bottom w:w="0" w:type="dxa"/>
            <w:right w:w="108" w:type="dxa"/>
          </w:tblCellMar>
        </w:tblPrEx>
        <w:trPr>
          <w:trHeight w:val="90" w:hRule="atLeast"/>
        </w:trPr>
        <w:tc>
          <w:tcPr>
            <w:tcW w:w="807" w:type="dxa"/>
            <w:tcBorders>
              <w:top w:val="nil"/>
              <w:left w:val="nil"/>
              <w:bottom w:val="nil"/>
              <w:right w:val="nil"/>
            </w:tcBorders>
            <w:noWrap/>
            <w:vAlign w:val="center"/>
          </w:tcPr>
          <w:p w14:paraId="6367CB48">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手套组</w:t>
            </w:r>
          </w:p>
        </w:tc>
        <w:tc>
          <w:tcPr>
            <w:tcW w:w="472" w:type="dxa"/>
            <w:tcBorders>
              <w:top w:val="nil"/>
              <w:left w:val="nil"/>
              <w:bottom w:val="nil"/>
              <w:right w:val="nil"/>
            </w:tcBorders>
            <w:noWrap/>
            <w:vAlign w:val="center"/>
          </w:tcPr>
          <w:p w14:paraId="1FEE7EB9">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20</w:t>
            </w:r>
          </w:p>
        </w:tc>
        <w:tc>
          <w:tcPr>
            <w:tcW w:w="800" w:type="dxa"/>
            <w:tcBorders>
              <w:top w:val="nil"/>
              <w:left w:val="nil"/>
              <w:bottom w:val="nil"/>
              <w:right w:val="nil"/>
            </w:tcBorders>
            <w:noWrap/>
            <w:vAlign w:val="center"/>
          </w:tcPr>
          <w:p w14:paraId="1B803276">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15/5</w:t>
            </w:r>
          </w:p>
        </w:tc>
        <w:tc>
          <w:tcPr>
            <w:tcW w:w="1010" w:type="dxa"/>
            <w:tcBorders>
              <w:top w:val="nil"/>
              <w:left w:val="nil"/>
              <w:bottom w:val="nil"/>
              <w:right w:val="nil"/>
            </w:tcBorders>
            <w:noWrap/>
            <w:vAlign w:val="center"/>
          </w:tcPr>
          <w:p w14:paraId="201C95A3">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15/5</w:t>
            </w:r>
          </w:p>
        </w:tc>
        <w:tc>
          <w:tcPr>
            <w:tcW w:w="936" w:type="dxa"/>
            <w:tcBorders>
              <w:top w:val="nil"/>
              <w:left w:val="nil"/>
              <w:bottom w:val="nil"/>
              <w:right w:val="nil"/>
            </w:tcBorders>
            <w:noWrap/>
            <w:vAlign w:val="center"/>
          </w:tcPr>
          <w:p w14:paraId="03A54D9C">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12/8</w:t>
            </w:r>
          </w:p>
        </w:tc>
        <w:tc>
          <w:tcPr>
            <w:tcW w:w="1770" w:type="dxa"/>
            <w:tcBorders>
              <w:top w:val="nil"/>
              <w:left w:val="nil"/>
              <w:bottom w:val="nil"/>
              <w:right w:val="nil"/>
            </w:tcBorders>
            <w:noWrap/>
            <w:vAlign w:val="center"/>
          </w:tcPr>
          <w:p w14:paraId="779F0068">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64.45±9.93</w:t>
            </w:r>
          </w:p>
        </w:tc>
        <w:tc>
          <w:tcPr>
            <w:tcW w:w="1674" w:type="dxa"/>
            <w:tcBorders>
              <w:top w:val="nil"/>
              <w:left w:val="nil"/>
              <w:bottom w:val="nil"/>
              <w:right w:val="nil"/>
            </w:tcBorders>
            <w:noWrap/>
            <w:vAlign w:val="center"/>
          </w:tcPr>
          <w:p w14:paraId="29DF9277">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31.00(11.25,87.00)</w:t>
            </w:r>
          </w:p>
        </w:tc>
        <w:tc>
          <w:tcPr>
            <w:tcW w:w="1886" w:type="dxa"/>
            <w:tcBorders>
              <w:top w:val="nil"/>
              <w:left w:val="nil"/>
              <w:bottom w:val="nil"/>
              <w:right w:val="nil"/>
            </w:tcBorders>
            <w:noWrap/>
            <w:vAlign w:val="center"/>
          </w:tcPr>
          <w:p w14:paraId="01029C4D">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26.00(22.25,28.00)</w:t>
            </w:r>
          </w:p>
        </w:tc>
      </w:tr>
      <w:tr w14:paraId="366347AB">
        <w:tblPrEx>
          <w:tblCellMar>
            <w:top w:w="0" w:type="dxa"/>
            <w:left w:w="108" w:type="dxa"/>
            <w:bottom w:w="0" w:type="dxa"/>
            <w:right w:w="108" w:type="dxa"/>
          </w:tblCellMar>
        </w:tblPrEx>
        <w:trPr>
          <w:trHeight w:val="620" w:hRule="atLeast"/>
        </w:trPr>
        <w:tc>
          <w:tcPr>
            <w:tcW w:w="807" w:type="dxa"/>
            <w:tcBorders>
              <w:top w:val="nil"/>
              <w:left w:val="nil"/>
              <w:bottom w:val="nil"/>
              <w:right w:val="nil"/>
            </w:tcBorders>
            <w:noWrap/>
            <w:vAlign w:val="center"/>
          </w:tcPr>
          <w:p w14:paraId="28694FFF">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镜像组</w:t>
            </w:r>
          </w:p>
        </w:tc>
        <w:tc>
          <w:tcPr>
            <w:tcW w:w="472" w:type="dxa"/>
            <w:tcBorders>
              <w:top w:val="nil"/>
              <w:left w:val="nil"/>
              <w:bottom w:val="nil"/>
              <w:right w:val="nil"/>
            </w:tcBorders>
            <w:noWrap/>
            <w:vAlign w:val="center"/>
          </w:tcPr>
          <w:p w14:paraId="6B2EA68D">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20</w:t>
            </w:r>
          </w:p>
        </w:tc>
        <w:tc>
          <w:tcPr>
            <w:tcW w:w="800" w:type="dxa"/>
            <w:tcBorders>
              <w:top w:val="nil"/>
              <w:left w:val="nil"/>
              <w:bottom w:val="nil"/>
              <w:right w:val="nil"/>
            </w:tcBorders>
            <w:noWrap/>
            <w:vAlign w:val="center"/>
          </w:tcPr>
          <w:p w14:paraId="77B862E9">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11/9</w:t>
            </w:r>
          </w:p>
        </w:tc>
        <w:tc>
          <w:tcPr>
            <w:tcW w:w="1010" w:type="dxa"/>
            <w:tcBorders>
              <w:top w:val="nil"/>
              <w:left w:val="nil"/>
              <w:bottom w:val="nil"/>
              <w:right w:val="nil"/>
            </w:tcBorders>
            <w:noWrap/>
            <w:vAlign w:val="center"/>
          </w:tcPr>
          <w:p w14:paraId="77B76FDD">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16/4</w:t>
            </w:r>
          </w:p>
        </w:tc>
        <w:tc>
          <w:tcPr>
            <w:tcW w:w="936" w:type="dxa"/>
            <w:tcBorders>
              <w:top w:val="nil"/>
              <w:left w:val="nil"/>
              <w:bottom w:val="nil"/>
              <w:right w:val="nil"/>
            </w:tcBorders>
            <w:noWrap/>
            <w:vAlign w:val="center"/>
          </w:tcPr>
          <w:p w14:paraId="534B6ECA">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11/9</w:t>
            </w:r>
          </w:p>
        </w:tc>
        <w:tc>
          <w:tcPr>
            <w:tcW w:w="1770" w:type="dxa"/>
            <w:tcBorders>
              <w:top w:val="nil"/>
              <w:left w:val="nil"/>
              <w:bottom w:val="nil"/>
              <w:right w:val="nil"/>
            </w:tcBorders>
            <w:noWrap/>
            <w:vAlign w:val="center"/>
          </w:tcPr>
          <w:p w14:paraId="0FE61ED1">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64.45±12.94</w:t>
            </w:r>
          </w:p>
        </w:tc>
        <w:tc>
          <w:tcPr>
            <w:tcW w:w="1674" w:type="dxa"/>
            <w:tcBorders>
              <w:top w:val="nil"/>
              <w:left w:val="nil"/>
              <w:bottom w:val="nil"/>
              <w:right w:val="nil"/>
            </w:tcBorders>
            <w:noWrap/>
            <w:vAlign w:val="center"/>
          </w:tcPr>
          <w:p w14:paraId="0A38ECD4">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24.00(11.00,57.50)</w:t>
            </w:r>
          </w:p>
        </w:tc>
        <w:tc>
          <w:tcPr>
            <w:tcW w:w="1886" w:type="dxa"/>
            <w:tcBorders>
              <w:top w:val="nil"/>
              <w:left w:val="nil"/>
              <w:bottom w:val="nil"/>
              <w:right w:val="nil"/>
            </w:tcBorders>
            <w:noWrap/>
            <w:vAlign w:val="center"/>
          </w:tcPr>
          <w:p w14:paraId="44E23DA2">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25.50(21.25,28.00)</w:t>
            </w:r>
          </w:p>
        </w:tc>
      </w:tr>
      <w:tr w14:paraId="43D332EF">
        <w:tblPrEx>
          <w:tblCellMar>
            <w:top w:w="0" w:type="dxa"/>
            <w:left w:w="108" w:type="dxa"/>
            <w:bottom w:w="0" w:type="dxa"/>
            <w:right w:w="108" w:type="dxa"/>
          </w:tblCellMar>
        </w:tblPrEx>
        <w:trPr>
          <w:trHeight w:val="620" w:hRule="atLeast"/>
        </w:trPr>
        <w:tc>
          <w:tcPr>
            <w:tcW w:w="807" w:type="dxa"/>
            <w:tcBorders>
              <w:top w:val="nil"/>
              <w:left w:val="nil"/>
              <w:bottom w:val="nil"/>
              <w:right w:val="nil"/>
            </w:tcBorders>
            <w:noWrap/>
            <w:vAlign w:val="center"/>
          </w:tcPr>
          <w:p w14:paraId="19C14078">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联合组</w:t>
            </w:r>
          </w:p>
        </w:tc>
        <w:tc>
          <w:tcPr>
            <w:tcW w:w="472" w:type="dxa"/>
            <w:tcBorders>
              <w:top w:val="nil"/>
              <w:left w:val="nil"/>
              <w:bottom w:val="nil"/>
              <w:right w:val="nil"/>
            </w:tcBorders>
            <w:noWrap/>
            <w:vAlign w:val="center"/>
          </w:tcPr>
          <w:p w14:paraId="25D2EACD">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20</w:t>
            </w:r>
          </w:p>
        </w:tc>
        <w:tc>
          <w:tcPr>
            <w:tcW w:w="800" w:type="dxa"/>
            <w:tcBorders>
              <w:top w:val="nil"/>
              <w:left w:val="nil"/>
              <w:bottom w:val="nil"/>
              <w:right w:val="nil"/>
            </w:tcBorders>
            <w:noWrap/>
            <w:vAlign w:val="center"/>
          </w:tcPr>
          <w:p w14:paraId="27867E96">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14/6</w:t>
            </w:r>
          </w:p>
        </w:tc>
        <w:tc>
          <w:tcPr>
            <w:tcW w:w="1010" w:type="dxa"/>
            <w:tcBorders>
              <w:top w:val="nil"/>
              <w:left w:val="nil"/>
              <w:bottom w:val="nil"/>
              <w:right w:val="nil"/>
            </w:tcBorders>
            <w:noWrap/>
            <w:vAlign w:val="center"/>
          </w:tcPr>
          <w:p w14:paraId="6DB2F83D">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15/5</w:t>
            </w:r>
          </w:p>
        </w:tc>
        <w:tc>
          <w:tcPr>
            <w:tcW w:w="936" w:type="dxa"/>
            <w:tcBorders>
              <w:top w:val="nil"/>
              <w:left w:val="nil"/>
              <w:bottom w:val="nil"/>
              <w:right w:val="nil"/>
            </w:tcBorders>
            <w:noWrap/>
            <w:vAlign w:val="center"/>
          </w:tcPr>
          <w:p w14:paraId="05EA1B66">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8/12</w:t>
            </w:r>
          </w:p>
        </w:tc>
        <w:tc>
          <w:tcPr>
            <w:tcW w:w="1770" w:type="dxa"/>
            <w:tcBorders>
              <w:top w:val="nil"/>
              <w:left w:val="nil"/>
              <w:bottom w:val="nil"/>
              <w:right w:val="nil"/>
            </w:tcBorders>
            <w:noWrap/>
            <w:vAlign w:val="center"/>
          </w:tcPr>
          <w:p w14:paraId="0129C671">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62.35±12.69</w:t>
            </w:r>
          </w:p>
        </w:tc>
        <w:tc>
          <w:tcPr>
            <w:tcW w:w="1674" w:type="dxa"/>
            <w:tcBorders>
              <w:top w:val="nil"/>
              <w:left w:val="nil"/>
              <w:bottom w:val="nil"/>
              <w:right w:val="nil"/>
            </w:tcBorders>
            <w:noWrap/>
            <w:vAlign w:val="center"/>
          </w:tcPr>
          <w:p w14:paraId="3AAE7ADF">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22.00(12.25,38.00)</w:t>
            </w:r>
          </w:p>
        </w:tc>
        <w:tc>
          <w:tcPr>
            <w:tcW w:w="1886" w:type="dxa"/>
            <w:tcBorders>
              <w:top w:val="nil"/>
              <w:left w:val="nil"/>
              <w:bottom w:val="nil"/>
              <w:right w:val="nil"/>
            </w:tcBorders>
            <w:noWrap/>
            <w:vAlign w:val="center"/>
          </w:tcPr>
          <w:p w14:paraId="52ACA217">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26.50(22.00,29.00)</w:t>
            </w:r>
          </w:p>
        </w:tc>
      </w:tr>
      <w:tr w14:paraId="54C7DDCD">
        <w:tblPrEx>
          <w:tblCellMar>
            <w:top w:w="0" w:type="dxa"/>
            <w:left w:w="108" w:type="dxa"/>
            <w:bottom w:w="0" w:type="dxa"/>
            <w:right w:w="108" w:type="dxa"/>
          </w:tblCellMar>
        </w:tblPrEx>
        <w:trPr>
          <w:trHeight w:val="620" w:hRule="atLeast"/>
        </w:trPr>
        <w:tc>
          <w:tcPr>
            <w:tcW w:w="807" w:type="dxa"/>
            <w:tcBorders>
              <w:top w:val="nil"/>
              <w:left w:val="nil"/>
              <w:bottom w:val="nil"/>
              <w:right w:val="nil"/>
            </w:tcBorders>
            <w:noWrap/>
            <w:vAlign w:val="center"/>
          </w:tcPr>
          <w:p w14:paraId="1855C7DA">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统计量</w:t>
            </w:r>
          </w:p>
        </w:tc>
        <w:tc>
          <w:tcPr>
            <w:tcW w:w="472" w:type="dxa"/>
            <w:tcBorders>
              <w:top w:val="nil"/>
              <w:left w:val="nil"/>
              <w:bottom w:val="nil"/>
              <w:right w:val="nil"/>
            </w:tcBorders>
            <w:noWrap/>
            <w:vAlign w:val="center"/>
          </w:tcPr>
          <w:p w14:paraId="2DE0C58C">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p>
        </w:tc>
        <w:tc>
          <w:tcPr>
            <w:tcW w:w="800" w:type="dxa"/>
            <w:tcBorders>
              <w:top w:val="nil"/>
              <w:left w:val="nil"/>
              <w:bottom w:val="nil"/>
              <w:right w:val="nil"/>
            </w:tcBorders>
            <w:noWrap/>
            <w:vAlign w:val="center"/>
          </w:tcPr>
          <w:p w14:paraId="23074D0D">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2.051</w:t>
            </w:r>
            <w:r>
              <w:rPr>
                <w:rFonts w:hint="eastAsia" w:ascii="宋体" w:hAnsi="宋体" w:eastAsia="宋体" w:cs="宋体"/>
                <w:sz w:val="24"/>
                <w:szCs w:val="24"/>
                <w:vertAlign w:val="superscript"/>
              </w:rPr>
              <w:t>a</w:t>
            </w:r>
          </w:p>
        </w:tc>
        <w:tc>
          <w:tcPr>
            <w:tcW w:w="1010" w:type="dxa"/>
            <w:tcBorders>
              <w:top w:val="nil"/>
              <w:left w:val="nil"/>
              <w:bottom w:val="nil"/>
              <w:right w:val="nil"/>
            </w:tcBorders>
            <w:noWrap/>
            <w:vAlign w:val="center"/>
          </w:tcPr>
          <w:p w14:paraId="6A23A03F">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0.533</w:t>
            </w:r>
            <w:r>
              <w:rPr>
                <w:rFonts w:hint="eastAsia" w:ascii="宋体" w:hAnsi="宋体" w:eastAsia="宋体" w:cs="宋体"/>
                <w:sz w:val="24"/>
                <w:szCs w:val="24"/>
                <w:vertAlign w:val="superscript"/>
              </w:rPr>
              <w:t>a</w:t>
            </w:r>
          </w:p>
        </w:tc>
        <w:tc>
          <w:tcPr>
            <w:tcW w:w="936" w:type="dxa"/>
            <w:tcBorders>
              <w:top w:val="nil"/>
              <w:left w:val="nil"/>
              <w:bottom w:val="nil"/>
              <w:right w:val="nil"/>
            </w:tcBorders>
            <w:noWrap/>
            <w:vAlign w:val="center"/>
          </w:tcPr>
          <w:p w14:paraId="73C77763">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1.751</w:t>
            </w:r>
            <w:r>
              <w:rPr>
                <w:rFonts w:hint="eastAsia" w:ascii="宋体" w:hAnsi="宋体" w:eastAsia="宋体" w:cs="宋体"/>
                <w:sz w:val="24"/>
                <w:szCs w:val="24"/>
                <w:vertAlign w:val="superscript"/>
              </w:rPr>
              <w:t>a</w:t>
            </w:r>
          </w:p>
        </w:tc>
        <w:tc>
          <w:tcPr>
            <w:tcW w:w="1770" w:type="dxa"/>
            <w:tcBorders>
              <w:top w:val="nil"/>
              <w:left w:val="nil"/>
              <w:bottom w:val="nil"/>
              <w:right w:val="nil"/>
            </w:tcBorders>
            <w:noWrap/>
            <w:vAlign w:val="center"/>
          </w:tcPr>
          <w:p w14:paraId="463BFD63">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0.845</w:t>
            </w:r>
            <w:r>
              <w:rPr>
                <w:rFonts w:hint="eastAsia" w:ascii="宋体" w:hAnsi="宋体" w:eastAsia="宋体" w:cs="宋体"/>
                <w:sz w:val="24"/>
                <w:szCs w:val="24"/>
                <w:vertAlign w:val="superscript"/>
              </w:rPr>
              <w:t>c</w:t>
            </w:r>
          </w:p>
        </w:tc>
        <w:tc>
          <w:tcPr>
            <w:tcW w:w="1674" w:type="dxa"/>
            <w:tcBorders>
              <w:top w:val="nil"/>
              <w:left w:val="nil"/>
              <w:bottom w:val="nil"/>
              <w:right w:val="nil"/>
            </w:tcBorders>
            <w:noWrap/>
            <w:vAlign w:val="center"/>
          </w:tcPr>
          <w:p w14:paraId="06749284">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0.463</w:t>
            </w:r>
            <w:r>
              <w:rPr>
                <w:rFonts w:hint="eastAsia" w:ascii="宋体" w:hAnsi="宋体" w:eastAsia="宋体" w:cs="宋体"/>
                <w:sz w:val="24"/>
                <w:szCs w:val="24"/>
                <w:vertAlign w:val="superscript"/>
              </w:rPr>
              <w:t>b</w:t>
            </w:r>
          </w:p>
        </w:tc>
        <w:tc>
          <w:tcPr>
            <w:tcW w:w="1886" w:type="dxa"/>
            <w:tcBorders>
              <w:top w:val="nil"/>
              <w:left w:val="nil"/>
              <w:bottom w:val="nil"/>
              <w:right w:val="nil"/>
            </w:tcBorders>
            <w:noWrap/>
            <w:vAlign w:val="center"/>
          </w:tcPr>
          <w:p w14:paraId="4125735F">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1.011</w:t>
            </w:r>
            <w:r>
              <w:rPr>
                <w:rFonts w:hint="eastAsia" w:ascii="宋体" w:hAnsi="宋体" w:eastAsia="宋体" w:cs="宋体"/>
                <w:sz w:val="24"/>
                <w:szCs w:val="24"/>
                <w:vertAlign w:val="superscript"/>
              </w:rPr>
              <w:t>b</w:t>
            </w:r>
          </w:p>
        </w:tc>
      </w:tr>
      <w:tr w14:paraId="37742A4A">
        <w:tblPrEx>
          <w:tblCellMar>
            <w:top w:w="0" w:type="dxa"/>
            <w:left w:w="108" w:type="dxa"/>
            <w:bottom w:w="0" w:type="dxa"/>
            <w:right w:w="108" w:type="dxa"/>
          </w:tblCellMar>
        </w:tblPrEx>
        <w:trPr>
          <w:trHeight w:val="384" w:hRule="atLeast"/>
        </w:trPr>
        <w:tc>
          <w:tcPr>
            <w:tcW w:w="807" w:type="dxa"/>
            <w:tcBorders>
              <w:top w:val="nil"/>
              <w:left w:val="nil"/>
              <w:bottom w:val="single" w:color="000000" w:sz="8" w:space="0"/>
              <w:right w:val="nil"/>
            </w:tcBorders>
            <w:noWrap/>
            <w:vAlign w:val="center"/>
          </w:tcPr>
          <w:p w14:paraId="1294D698">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P值</w:t>
            </w:r>
          </w:p>
        </w:tc>
        <w:tc>
          <w:tcPr>
            <w:tcW w:w="472" w:type="dxa"/>
            <w:tcBorders>
              <w:top w:val="nil"/>
              <w:left w:val="nil"/>
              <w:bottom w:val="single" w:color="000000" w:sz="8" w:space="0"/>
              <w:right w:val="nil"/>
            </w:tcBorders>
            <w:noWrap/>
            <w:vAlign w:val="center"/>
          </w:tcPr>
          <w:p w14:paraId="72F945E1">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p>
        </w:tc>
        <w:tc>
          <w:tcPr>
            <w:tcW w:w="800" w:type="dxa"/>
            <w:tcBorders>
              <w:top w:val="nil"/>
              <w:left w:val="nil"/>
              <w:bottom w:val="single" w:color="000000" w:sz="8" w:space="0"/>
              <w:right w:val="nil"/>
            </w:tcBorders>
            <w:noWrap/>
            <w:vAlign w:val="center"/>
          </w:tcPr>
          <w:p w14:paraId="5FFABF93">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0.562</w:t>
            </w:r>
          </w:p>
        </w:tc>
        <w:tc>
          <w:tcPr>
            <w:tcW w:w="1010" w:type="dxa"/>
            <w:tcBorders>
              <w:top w:val="nil"/>
              <w:left w:val="nil"/>
              <w:bottom w:val="single" w:color="000000" w:sz="8" w:space="0"/>
              <w:right w:val="nil"/>
            </w:tcBorders>
            <w:noWrap/>
            <w:vAlign w:val="center"/>
          </w:tcPr>
          <w:p w14:paraId="3194478A">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0.912</w:t>
            </w:r>
          </w:p>
        </w:tc>
        <w:tc>
          <w:tcPr>
            <w:tcW w:w="936" w:type="dxa"/>
            <w:tcBorders>
              <w:top w:val="nil"/>
              <w:left w:val="nil"/>
              <w:bottom w:val="single" w:color="000000" w:sz="8" w:space="0"/>
              <w:right w:val="nil"/>
            </w:tcBorders>
            <w:noWrap/>
            <w:vAlign w:val="center"/>
          </w:tcPr>
          <w:p w14:paraId="20894A82">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0.626</w:t>
            </w:r>
          </w:p>
        </w:tc>
        <w:tc>
          <w:tcPr>
            <w:tcW w:w="1770" w:type="dxa"/>
            <w:tcBorders>
              <w:top w:val="nil"/>
              <w:left w:val="nil"/>
              <w:bottom w:val="single" w:color="000000" w:sz="8" w:space="0"/>
              <w:right w:val="nil"/>
            </w:tcBorders>
            <w:noWrap/>
            <w:vAlign w:val="center"/>
          </w:tcPr>
          <w:p w14:paraId="4DFC1ABE">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0.473</w:t>
            </w:r>
          </w:p>
        </w:tc>
        <w:tc>
          <w:tcPr>
            <w:tcW w:w="1674" w:type="dxa"/>
            <w:tcBorders>
              <w:top w:val="nil"/>
              <w:left w:val="nil"/>
              <w:bottom w:val="single" w:color="000000" w:sz="8" w:space="0"/>
              <w:right w:val="nil"/>
            </w:tcBorders>
            <w:noWrap/>
            <w:vAlign w:val="center"/>
          </w:tcPr>
          <w:p w14:paraId="5B9AC9BB">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0.927</w:t>
            </w:r>
          </w:p>
        </w:tc>
        <w:tc>
          <w:tcPr>
            <w:tcW w:w="1886" w:type="dxa"/>
            <w:tcBorders>
              <w:top w:val="nil"/>
              <w:left w:val="nil"/>
              <w:bottom w:val="single" w:color="000000" w:sz="8" w:space="0"/>
              <w:right w:val="nil"/>
            </w:tcBorders>
            <w:noWrap/>
            <w:vAlign w:val="center"/>
          </w:tcPr>
          <w:p w14:paraId="5C39FB8D">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0.799</w:t>
            </w:r>
          </w:p>
        </w:tc>
      </w:tr>
    </w:tbl>
    <w:p w14:paraId="7E871918">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注：a 表示 </w:t>
      </w:r>
      <w:r>
        <w:rPr>
          <w:rFonts w:hint="eastAsia" w:ascii="宋体" w:hAnsi="宋体" w:eastAsia="宋体" w:cs="宋体"/>
          <w:i/>
          <w:iCs/>
          <w:kern w:val="0"/>
          <w:sz w:val="24"/>
          <w:szCs w:val="24"/>
        </w:rPr>
        <w:t>X</w:t>
      </w:r>
      <w:r>
        <w:rPr>
          <w:rFonts w:hint="eastAsia" w:ascii="宋体" w:hAnsi="宋体" w:eastAsia="宋体" w:cs="宋体"/>
          <w:i/>
          <w:iCs/>
          <w:kern w:val="0"/>
          <w:sz w:val="24"/>
          <w:szCs w:val="24"/>
          <w:vertAlign w:val="superscript"/>
        </w:rPr>
        <w:t>2</w:t>
      </w:r>
      <w:r>
        <w:rPr>
          <w:rFonts w:hint="eastAsia" w:ascii="宋体" w:hAnsi="宋体" w:eastAsia="宋体" w:cs="宋体"/>
          <w:kern w:val="0"/>
          <w:sz w:val="24"/>
          <w:szCs w:val="24"/>
        </w:rPr>
        <w:t>值，b 表示 Z 值，c表示T值。</w:t>
      </w:r>
    </w:p>
    <w:p w14:paraId="1FDAA11C">
      <w:pPr>
        <w:keepLines w:val="0"/>
        <w:pageBreakBefore w:val="0"/>
        <w:kinsoku/>
        <w:wordWrap/>
        <w:overflowPunct/>
        <w:topLinePunct w:val="0"/>
        <w:autoSpaceDN/>
        <w:bidi w:val="0"/>
        <w:spacing w:before="480" w:after="120" w:line="240" w:lineRule="auto"/>
        <w:ind w:left="0" w:leftChars="0"/>
        <w:jc w:val="left"/>
        <w:outlineLvl w:val="0"/>
        <w:rPr>
          <w:rFonts w:hint="eastAsia" w:ascii="宋体" w:hAnsi="宋体" w:eastAsia="宋体" w:cs="宋体"/>
          <w:bCs/>
          <w:sz w:val="24"/>
          <w:szCs w:val="24"/>
        </w:rPr>
      </w:pPr>
      <w:r>
        <w:rPr>
          <w:rFonts w:hint="eastAsia" w:ascii="宋体" w:hAnsi="宋体" w:eastAsia="宋体" w:cs="宋体"/>
          <w:bCs/>
          <w:sz w:val="24"/>
          <w:szCs w:val="24"/>
        </w:rPr>
        <w:t>3.2 U-FMA评分比较</w:t>
      </w:r>
    </w:p>
    <w:p w14:paraId="21637E86">
      <w:pPr>
        <w:keepLines w:val="0"/>
        <w:pageBreakBefore w:val="0"/>
        <w:kinsoku/>
        <w:wordWrap/>
        <w:overflowPunct/>
        <w:topLinePunct w:val="0"/>
        <w:autoSpaceDN/>
        <w:bidi w:val="0"/>
        <w:spacing w:line="240" w:lineRule="auto"/>
        <w:ind w:left="0" w:leftChars="0" w:firstLine="480" w:firstLineChars="200"/>
        <w:jc w:val="left"/>
        <w:rPr>
          <w:rFonts w:hint="eastAsia" w:ascii="宋体" w:hAnsi="宋体" w:eastAsia="宋体" w:cs="宋体"/>
          <w:sz w:val="24"/>
          <w:szCs w:val="24"/>
        </w:rPr>
      </w:pPr>
      <w:r>
        <w:rPr>
          <w:rFonts w:hint="eastAsia" w:ascii="宋体" w:hAnsi="宋体" w:eastAsia="宋体" w:cs="宋体"/>
          <w:sz w:val="24"/>
          <w:szCs w:val="24"/>
        </w:rPr>
        <w:t>经过4周干预后，所有四组患者的近端（U-FMA近）与远端（U-FMA远）运动功能评分均较治疗前出现统计学意义上的显著提升（|Z| &gt; 2.769， P &lt; 0.01）。治疗前，四组患者的基线U-FMA评分组间差异无统计学意义，表明各组具有可比性。然而，治疗后的组间比较发现，四组在近端与远端的U-FMA评分上均出现了具有统计学意义的差异（Z &gt; 2.881， P &lt; 0.05）。具体评分数据详见表3.2与表3.3。</w:t>
      </w:r>
    </w:p>
    <w:p w14:paraId="38A1A2FD">
      <w:pPr>
        <w:pStyle w:val="27"/>
        <w:keepLines w:val="0"/>
        <w:pageBreakBefore w:val="0"/>
        <w:kinsoku/>
        <w:wordWrap/>
        <w:overflowPunct/>
        <w:topLinePunct w:val="0"/>
        <w:autoSpaceDE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 xml:space="preserve"> </w:t>
      </w:r>
    </w:p>
    <w:p w14:paraId="2BF68F09">
      <w:pPr>
        <w:pStyle w:val="27"/>
        <w:keepLines w:val="0"/>
        <w:pageBreakBefore w:val="0"/>
        <w:kinsoku/>
        <w:wordWrap/>
        <w:overflowPunct/>
        <w:topLinePunct w:val="0"/>
        <w:autoSpaceDE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表3.2 治疗前后 U-FMA近端评分比较</w:t>
      </w:r>
    </w:p>
    <w:tbl>
      <w:tblPr>
        <w:tblStyle w:val="11"/>
        <w:tblW w:w="8016" w:type="dxa"/>
        <w:tblInd w:w="135" w:type="dxa"/>
        <w:tblLayout w:type="autofit"/>
        <w:tblCellMar>
          <w:top w:w="0" w:type="dxa"/>
          <w:left w:w="108" w:type="dxa"/>
          <w:bottom w:w="0" w:type="dxa"/>
          <w:right w:w="108" w:type="dxa"/>
        </w:tblCellMar>
      </w:tblPr>
      <w:tblGrid>
        <w:gridCol w:w="1044"/>
        <w:gridCol w:w="2604"/>
        <w:gridCol w:w="2424"/>
        <w:gridCol w:w="972"/>
        <w:gridCol w:w="972"/>
      </w:tblGrid>
      <w:tr w14:paraId="78BCC14C">
        <w:tblPrEx>
          <w:tblCellMar>
            <w:top w:w="0" w:type="dxa"/>
            <w:left w:w="108" w:type="dxa"/>
            <w:bottom w:w="0" w:type="dxa"/>
            <w:right w:w="108" w:type="dxa"/>
          </w:tblCellMar>
        </w:tblPrEx>
        <w:trPr>
          <w:trHeight w:val="291" w:hRule="atLeast"/>
        </w:trPr>
        <w:tc>
          <w:tcPr>
            <w:tcW w:w="1044" w:type="dxa"/>
            <w:tcBorders>
              <w:top w:val="single" w:color="000000" w:sz="8" w:space="0"/>
              <w:left w:val="nil"/>
              <w:bottom w:val="single" w:color="000000" w:sz="8" w:space="0"/>
              <w:right w:val="nil"/>
            </w:tcBorders>
            <w:noWrap/>
            <w:vAlign w:val="center"/>
          </w:tcPr>
          <w:p w14:paraId="2CDA25CF">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bookmarkStart w:id="2" w:name="_Toc93734163"/>
            <w:r>
              <w:rPr>
                <w:rFonts w:hint="eastAsia" w:ascii="宋体" w:hAnsi="宋体" w:eastAsia="宋体" w:cs="宋体"/>
                <w:kern w:val="0"/>
                <w:sz w:val="24"/>
                <w:szCs w:val="24"/>
              </w:rPr>
              <w:t>分组</w:t>
            </w:r>
            <w:bookmarkEnd w:id="2"/>
          </w:p>
        </w:tc>
        <w:tc>
          <w:tcPr>
            <w:tcW w:w="2604" w:type="dxa"/>
            <w:tcBorders>
              <w:top w:val="single" w:color="000000" w:sz="8" w:space="0"/>
              <w:left w:val="nil"/>
              <w:bottom w:val="single" w:color="000000" w:sz="8" w:space="0"/>
              <w:right w:val="nil"/>
            </w:tcBorders>
            <w:noWrap/>
            <w:vAlign w:val="center"/>
          </w:tcPr>
          <w:p w14:paraId="47E9525C">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治疗前</w:t>
            </w:r>
          </w:p>
        </w:tc>
        <w:tc>
          <w:tcPr>
            <w:tcW w:w="2424" w:type="dxa"/>
            <w:tcBorders>
              <w:top w:val="single" w:color="000000" w:sz="8" w:space="0"/>
              <w:left w:val="nil"/>
              <w:bottom w:val="single" w:color="000000" w:sz="8" w:space="0"/>
              <w:right w:val="nil"/>
            </w:tcBorders>
            <w:noWrap/>
            <w:vAlign w:val="center"/>
          </w:tcPr>
          <w:p w14:paraId="5D097D4B">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治疗后</w:t>
            </w:r>
          </w:p>
        </w:tc>
        <w:tc>
          <w:tcPr>
            <w:tcW w:w="972" w:type="dxa"/>
            <w:tcBorders>
              <w:top w:val="single" w:color="000000" w:sz="8" w:space="0"/>
              <w:left w:val="nil"/>
              <w:bottom w:val="single" w:color="000000" w:sz="8" w:space="0"/>
              <w:right w:val="nil"/>
            </w:tcBorders>
            <w:noWrap/>
            <w:vAlign w:val="center"/>
          </w:tcPr>
          <w:p w14:paraId="50189956">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z</w:t>
            </w:r>
          </w:p>
        </w:tc>
        <w:tc>
          <w:tcPr>
            <w:tcW w:w="972" w:type="dxa"/>
            <w:tcBorders>
              <w:top w:val="single" w:color="000000" w:sz="8" w:space="0"/>
              <w:left w:val="nil"/>
              <w:bottom w:val="single" w:color="000000" w:sz="8" w:space="0"/>
              <w:right w:val="nil"/>
            </w:tcBorders>
            <w:noWrap/>
            <w:vAlign w:val="center"/>
          </w:tcPr>
          <w:p w14:paraId="5ABF5214">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P</w:t>
            </w:r>
          </w:p>
        </w:tc>
      </w:tr>
      <w:tr w14:paraId="47638BC6">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noWrap/>
            <w:vAlign w:val="center"/>
          </w:tcPr>
          <w:p w14:paraId="7C50805C">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对照组</w:t>
            </w:r>
          </w:p>
        </w:tc>
        <w:tc>
          <w:tcPr>
            <w:tcW w:w="2604" w:type="dxa"/>
            <w:tcBorders>
              <w:top w:val="nil"/>
              <w:left w:val="nil"/>
              <w:bottom w:val="nil"/>
              <w:right w:val="nil"/>
            </w:tcBorders>
            <w:noWrap/>
            <w:vAlign w:val="center"/>
          </w:tcPr>
          <w:p w14:paraId="37593E16">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7.90±6.16</w:t>
            </w:r>
          </w:p>
        </w:tc>
        <w:tc>
          <w:tcPr>
            <w:tcW w:w="2424" w:type="dxa"/>
            <w:tcBorders>
              <w:top w:val="nil"/>
              <w:left w:val="nil"/>
              <w:bottom w:val="nil"/>
              <w:right w:val="nil"/>
            </w:tcBorders>
            <w:noWrap/>
            <w:vAlign w:val="center"/>
          </w:tcPr>
          <w:p w14:paraId="75AFA4C9">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14.10±9.43</w:t>
            </w:r>
            <w:r>
              <w:rPr>
                <w:rFonts w:hint="eastAsia" w:ascii="宋体" w:hAnsi="宋体" w:eastAsia="宋体" w:cs="宋体"/>
                <w:kern w:val="0"/>
                <w:sz w:val="24"/>
                <w:szCs w:val="24"/>
                <w:vertAlign w:val="superscript"/>
              </w:rPr>
              <w:t>a</w:t>
            </w:r>
          </w:p>
        </w:tc>
        <w:tc>
          <w:tcPr>
            <w:tcW w:w="972" w:type="dxa"/>
            <w:tcBorders>
              <w:top w:val="nil"/>
              <w:left w:val="nil"/>
              <w:bottom w:val="nil"/>
              <w:right w:val="nil"/>
            </w:tcBorders>
            <w:noWrap/>
            <w:vAlign w:val="center"/>
          </w:tcPr>
          <w:p w14:paraId="6E51A834">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-3.409</w:t>
            </w:r>
          </w:p>
        </w:tc>
        <w:tc>
          <w:tcPr>
            <w:tcW w:w="972" w:type="dxa"/>
            <w:tcBorders>
              <w:top w:val="nil"/>
              <w:left w:val="nil"/>
              <w:bottom w:val="nil"/>
              <w:right w:val="nil"/>
            </w:tcBorders>
            <w:noWrap/>
            <w:vAlign w:val="center"/>
          </w:tcPr>
          <w:p w14:paraId="4DAED664">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 xml:space="preserve">0.003 </w:t>
            </w:r>
          </w:p>
        </w:tc>
      </w:tr>
      <w:tr w14:paraId="72325F25">
        <w:tblPrEx>
          <w:tblCellMar>
            <w:top w:w="0" w:type="dxa"/>
            <w:left w:w="108" w:type="dxa"/>
            <w:bottom w:w="0" w:type="dxa"/>
            <w:right w:w="108" w:type="dxa"/>
          </w:tblCellMar>
        </w:tblPrEx>
        <w:trPr>
          <w:trHeight w:val="90" w:hRule="atLeast"/>
        </w:trPr>
        <w:tc>
          <w:tcPr>
            <w:tcW w:w="1044" w:type="dxa"/>
            <w:tcBorders>
              <w:top w:val="nil"/>
              <w:left w:val="nil"/>
              <w:bottom w:val="nil"/>
              <w:right w:val="nil"/>
            </w:tcBorders>
            <w:noWrap/>
            <w:vAlign w:val="center"/>
          </w:tcPr>
          <w:p w14:paraId="50F615C7">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手套组</w:t>
            </w:r>
          </w:p>
        </w:tc>
        <w:tc>
          <w:tcPr>
            <w:tcW w:w="2604" w:type="dxa"/>
            <w:tcBorders>
              <w:top w:val="nil"/>
              <w:left w:val="nil"/>
              <w:bottom w:val="nil"/>
              <w:right w:val="nil"/>
            </w:tcBorders>
            <w:noWrap/>
            <w:vAlign w:val="center"/>
          </w:tcPr>
          <w:p w14:paraId="0BAE4DE3">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9.15±6.83</w:t>
            </w:r>
          </w:p>
        </w:tc>
        <w:tc>
          <w:tcPr>
            <w:tcW w:w="2424" w:type="dxa"/>
            <w:tcBorders>
              <w:top w:val="nil"/>
              <w:left w:val="nil"/>
              <w:bottom w:val="nil"/>
              <w:right w:val="nil"/>
            </w:tcBorders>
            <w:noWrap/>
            <w:vAlign w:val="center"/>
          </w:tcPr>
          <w:p w14:paraId="38EEA1BB">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14.85±9.80</w:t>
            </w:r>
            <w:r>
              <w:rPr>
                <w:rFonts w:hint="eastAsia" w:ascii="宋体" w:hAnsi="宋体" w:eastAsia="宋体" w:cs="宋体"/>
                <w:kern w:val="0"/>
                <w:sz w:val="24"/>
                <w:szCs w:val="24"/>
                <w:vertAlign w:val="superscript"/>
              </w:rPr>
              <w:t>a</w:t>
            </w:r>
          </w:p>
        </w:tc>
        <w:tc>
          <w:tcPr>
            <w:tcW w:w="972" w:type="dxa"/>
            <w:tcBorders>
              <w:top w:val="nil"/>
              <w:left w:val="nil"/>
              <w:bottom w:val="nil"/>
              <w:right w:val="nil"/>
            </w:tcBorders>
            <w:noWrap/>
            <w:vAlign w:val="center"/>
          </w:tcPr>
          <w:p w14:paraId="35BF597A">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-3.299</w:t>
            </w:r>
          </w:p>
        </w:tc>
        <w:tc>
          <w:tcPr>
            <w:tcW w:w="972" w:type="dxa"/>
            <w:tcBorders>
              <w:top w:val="nil"/>
              <w:left w:val="nil"/>
              <w:bottom w:val="nil"/>
              <w:right w:val="nil"/>
            </w:tcBorders>
            <w:noWrap/>
            <w:vAlign w:val="center"/>
          </w:tcPr>
          <w:p w14:paraId="08D86F4C">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0.004</w:t>
            </w:r>
          </w:p>
        </w:tc>
      </w:tr>
      <w:tr w14:paraId="3C89ADD8">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noWrap/>
            <w:vAlign w:val="center"/>
          </w:tcPr>
          <w:p w14:paraId="1178F28C">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镜像组</w:t>
            </w:r>
          </w:p>
        </w:tc>
        <w:tc>
          <w:tcPr>
            <w:tcW w:w="2604" w:type="dxa"/>
            <w:tcBorders>
              <w:top w:val="nil"/>
              <w:left w:val="nil"/>
              <w:bottom w:val="nil"/>
              <w:right w:val="nil"/>
            </w:tcBorders>
            <w:noWrap/>
            <w:vAlign w:val="center"/>
          </w:tcPr>
          <w:p w14:paraId="67FDB21C">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9.85±9.09</w:t>
            </w:r>
          </w:p>
        </w:tc>
        <w:tc>
          <w:tcPr>
            <w:tcW w:w="2424" w:type="dxa"/>
            <w:tcBorders>
              <w:top w:val="nil"/>
              <w:left w:val="nil"/>
              <w:bottom w:val="nil"/>
              <w:right w:val="nil"/>
            </w:tcBorders>
            <w:noWrap/>
            <w:vAlign w:val="center"/>
          </w:tcPr>
          <w:p w14:paraId="0AA6C06E">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16.65±9.87</w:t>
            </w:r>
            <w:r>
              <w:rPr>
                <w:rFonts w:hint="eastAsia" w:ascii="宋体" w:hAnsi="宋体" w:eastAsia="宋体" w:cs="宋体"/>
                <w:kern w:val="0"/>
                <w:sz w:val="24"/>
                <w:szCs w:val="24"/>
                <w:vertAlign w:val="superscript"/>
              </w:rPr>
              <w:t>a</w:t>
            </w:r>
          </w:p>
        </w:tc>
        <w:tc>
          <w:tcPr>
            <w:tcW w:w="972" w:type="dxa"/>
            <w:tcBorders>
              <w:top w:val="nil"/>
              <w:left w:val="nil"/>
              <w:bottom w:val="nil"/>
              <w:right w:val="nil"/>
            </w:tcBorders>
            <w:noWrap/>
            <w:vAlign w:val="center"/>
          </w:tcPr>
          <w:p w14:paraId="3A30F0C9">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-4.253</w:t>
            </w:r>
          </w:p>
        </w:tc>
        <w:tc>
          <w:tcPr>
            <w:tcW w:w="972" w:type="dxa"/>
            <w:tcBorders>
              <w:top w:val="nil"/>
              <w:left w:val="nil"/>
              <w:bottom w:val="nil"/>
              <w:right w:val="nil"/>
            </w:tcBorders>
            <w:noWrap/>
            <w:vAlign w:val="center"/>
          </w:tcPr>
          <w:p w14:paraId="02922B09">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 xml:space="preserve">0.000 </w:t>
            </w:r>
          </w:p>
        </w:tc>
      </w:tr>
      <w:tr w14:paraId="367B9244">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noWrap/>
            <w:vAlign w:val="center"/>
          </w:tcPr>
          <w:p w14:paraId="08DF0C72">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联合组</w:t>
            </w:r>
          </w:p>
        </w:tc>
        <w:tc>
          <w:tcPr>
            <w:tcW w:w="2604" w:type="dxa"/>
            <w:tcBorders>
              <w:top w:val="nil"/>
              <w:left w:val="nil"/>
              <w:bottom w:val="nil"/>
              <w:right w:val="nil"/>
            </w:tcBorders>
            <w:noWrap/>
            <w:vAlign w:val="center"/>
          </w:tcPr>
          <w:p w14:paraId="6FED14C7">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12.00±9.10</w:t>
            </w:r>
          </w:p>
        </w:tc>
        <w:tc>
          <w:tcPr>
            <w:tcW w:w="2424" w:type="dxa"/>
            <w:tcBorders>
              <w:top w:val="nil"/>
              <w:left w:val="nil"/>
              <w:bottom w:val="nil"/>
              <w:right w:val="nil"/>
            </w:tcBorders>
            <w:noWrap/>
            <w:vAlign w:val="center"/>
          </w:tcPr>
          <w:p w14:paraId="75430C4D">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22.25±9.72</w:t>
            </w:r>
            <w:r>
              <w:rPr>
                <w:rFonts w:hint="eastAsia" w:ascii="宋体" w:hAnsi="宋体" w:eastAsia="宋体" w:cs="宋体"/>
                <w:kern w:val="0"/>
                <w:sz w:val="24"/>
                <w:szCs w:val="24"/>
                <w:vertAlign w:val="superscript"/>
              </w:rPr>
              <w:t>abc</w:t>
            </w:r>
          </w:p>
        </w:tc>
        <w:tc>
          <w:tcPr>
            <w:tcW w:w="972" w:type="dxa"/>
            <w:tcBorders>
              <w:top w:val="nil"/>
              <w:left w:val="nil"/>
              <w:bottom w:val="nil"/>
              <w:right w:val="nil"/>
            </w:tcBorders>
            <w:noWrap/>
            <w:vAlign w:val="center"/>
          </w:tcPr>
          <w:p w14:paraId="283BE979">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-5.223</w:t>
            </w:r>
          </w:p>
        </w:tc>
        <w:tc>
          <w:tcPr>
            <w:tcW w:w="972" w:type="dxa"/>
            <w:tcBorders>
              <w:top w:val="nil"/>
              <w:left w:val="nil"/>
              <w:bottom w:val="nil"/>
              <w:right w:val="nil"/>
            </w:tcBorders>
            <w:noWrap/>
            <w:vAlign w:val="center"/>
          </w:tcPr>
          <w:p w14:paraId="1D789868">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 xml:space="preserve">0.000 </w:t>
            </w:r>
          </w:p>
        </w:tc>
      </w:tr>
      <w:tr w14:paraId="399E6A7F">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noWrap/>
            <w:vAlign w:val="center"/>
          </w:tcPr>
          <w:p w14:paraId="3DA7154B">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统计量</w:t>
            </w:r>
          </w:p>
        </w:tc>
        <w:tc>
          <w:tcPr>
            <w:tcW w:w="2604" w:type="dxa"/>
            <w:tcBorders>
              <w:top w:val="nil"/>
              <w:left w:val="nil"/>
              <w:bottom w:val="nil"/>
              <w:right w:val="nil"/>
            </w:tcBorders>
            <w:noWrap/>
            <w:vAlign w:val="center"/>
          </w:tcPr>
          <w:p w14:paraId="4DE8A8E0">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0.944</w:t>
            </w:r>
          </w:p>
        </w:tc>
        <w:tc>
          <w:tcPr>
            <w:tcW w:w="2424" w:type="dxa"/>
            <w:tcBorders>
              <w:top w:val="nil"/>
              <w:left w:val="nil"/>
              <w:bottom w:val="nil"/>
              <w:right w:val="nil"/>
            </w:tcBorders>
            <w:noWrap/>
            <w:vAlign w:val="center"/>
          </w:tcPr>
          <w:p w14:paraId="71A36FEA">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2.881</w:t>
            </w:r>
          </w:p>
        </w:tc>
        <w:tc>
          <w:tcPr>
            <w:tcW w:w="972" w:type="dxa"/>
            <w:tcBorders>
              <w:top w:val="nil"/>
              <w:left w:val="nil"/>
              <w:bottom w:val="nil"/>
              <w:right w:val="nil"/>
            </w:tcBorders>
            <w:noWrap/>
            <w:vAlign w:val="center"/>
          </w:tcPr>
          <w:p w14:paraId="26095C58">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p>
        </w:tc>
        <w:tc>
          <w:tcPr>
            <w:tcW w:w="972" w:type="dxa"/>
            <w:tcBorders>
              <w:top w:val="nil"/>
              <w:left w:val="nil"/>
              <w:bottom w:val="nil"/>
              <w:right w:val="nil"/>
            </w:tcBorders>
            <w:noWrap/>
            <w:vAlign w:val="center"/>
          </w:tcPr>
          <w:p w14:paraId="50286B04">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p>
        </w:tc>
      </w:tr>
      <w:tr w14:paraId="2D91DD5A">
        <w:tblPrEx>
          <w:tblCellMar>
            <w:top w:w="0" w:type="dxa"/>
            <w:left w:w="108" w:type="dxa"/>
            <w:bottom w:w="0" w:type="dxa"/>
            <w:right w:w="108" w:type="dxa"/>
          </w:tblCellMar>
        </w:tblPrEx>
        <w:trPr>
          <w:trHeight w:val="303" w:hRule="atLeast"/>
        </w:trPr>
        <w:tc>
          <w:tcPr>
            <w:tcW w:w="1044" w:type="dxa"/>
            <w:tcBorders>
              <w:top w:val="nil"/>
              <w:left w:val="nil"/>
              <w:bottom w:val="single" w:color="000000" w:sz="8" w:space="0"/>
              <w:right w:val="nil"/>
            </w:tcBorders>
            <w:noWrap/>
            <w:vAlign w:val="center"/>
          </w:tcPr>
          <w:p w14:paraId="0D684F26">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P值</w:t>
            </w:r>
          </w:p>
        </w:tc>
        <w:tc>
          <w:tcPr>
            <w:tcW w:w="2604" w:type="dxa"/>
            <w:tcBorders>
              <w:top w:val="nil"/>
              <w:left w:val="nil"/>
              <w:bottom w:val="single" w:color="000000" w:sz="8" w:space="0"/>
              <w:right w:val="nil"/>
            </w:tcBorders>
            <w:noWrap/>
            <w:vAlign w:val="center"/>
          </w:tcPr>
          <w:p w14:paraId="75B12371">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0.424</w:t>
            </w:r>
          </w:p>
        </w:tc>
        <w:tc>
          <w:tcPr>
            <w:tcW w:w="2424" w:type="dxa"/>
            <w:tcBorders>
              <w:top w:val="nil"/>
              <w:left w:val="nil"/>
              <w:bottom w:val="single" w:color="000000" w:sz="8" w:space="0"/>
              <w:right w:val="nil"/>
            </w:tcBorders>
            <w:noWrap/>
            <w:vAlign w:val="center"/>
          </w:tcPr>
          <w:p w14:paraId="27A9A08F">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0.041</w:t>
            </w:r>
          </w:p>
        </w:tc>
        <w:tc>
          <w:tcPr>
            <w:tcW w:w="972" w:type="dxa"/>
            <w:tcBorders>
              <w:top w:val="nil"/>
              <w:left w:val="nil"/>
              <w:bottom w:val="single" w:color="000000" w:sz="8" w:space="0"/>
              <w:right w:val="nil"/>
            </w:tcBorders>
            <w:noWrap/>
            <w:vAlign w:val="center"/>
          </w:tcPr>
          <w:p w14:paraId="31816731">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p>
        </w:tc>
        <w:tc>
          <w:tcPr>
            <w:tcW w:w="972" w:type="dxa"/>
            <w:tcBorders>
              <w:top w:val="nil"/>
              <w:left w:val="nil"/>
              <w:bottom w:val="single" w:color="000000" w:sz="8" w:space="0"/>
              <w:right w:val="nil"/>
            </w:tcBorders>
            <w:noWrap/>
            <w:vAlign w:val="center"/>
          </w:tcPr>
          <w:p w14:paraId="4C608317">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p>
        </w:tc>
      </w:tr>
    </w:tbl>
    <w:p w14:paraId="4FE590EC">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kern w:val="0"/>
          <w:sz w:val="24"/>
          <w:szCs w:val="24"/>
        </w:rPr>
      </w:pPr>
      <w:r>
        <w:rPr>
          <w:rFonts w:hint="eastAsia" w:ascii="宋体" w:hAnsi="宋体" w:eastAsia="宋体" w:cs="宋体"/>
          <w:kern w:val="0"/>
          <w:sz w:val="24"/>
          <w:szCs w:val="24"/>
        </w:rPr>
        <w:t>注：</w:t>
      </w:r>
      <w:r>
        <w:rPr>
          <w:rFonts w:hint="eastAsia" w:ascii="宋体" w:hAnsi="宋体" w:eastAsia="宋体" w:cs="宋体"/>
          <w:kern w:val="0"/>
          <w:sz w:val="24"/>
          <w:szCs w:val="24"/>
          <w:vertAlign w:val="superscript"/>
        </w:rPr>
        <w:t>a</w:t>
      </w:r>
      <w:r>
        <w:rPr>
          <w:rFonts w:hint="eastAsia" w:ascii="宋体" w:hAnsi="宋体" w:eastAsia="宋体" w:cs="宋体"/>
          <w:kern w:val="0"/>
          <w:sz w:val="24"/>
          <w:szCs w:val="24"/>
        </w:rPr>
        <w:t>P与治疗前比较P＜0.05，</w:t>
      </w:r>
      <w:r>
        <w:rPr>
          <w:rFonts w:hint="eastAsia" w:ascii="宋体" w:hAnsi="宋体" w:eastAsia="宋体" w:cs="宋体"/>
          <w:kern w:val="0"/>
          <w:sz w:val="24"/>
          <w:szCs w:val="24"/>
          <w:vertAlign w:val="superscript"/>
        </w:rPr>
        <w:t>b</w:t>
      </w:r>
      <w:r>
        <w:rPr>
          <w:rFonts w:hint="eastAsia" w:ascii="宋体" w:hAnsi="宋体" w:eastAsia="宋体" w:cs="宋体"/>
          <w:kern w:val="0"/>
          <w:sz w:val="24"/>
          <w:szCs w:val="24"/>
        </w:rPr>
        <w:t>P与对照组比较P＜0.05,</w:t>
      </w:r>
      <w:r>
        <w:rPr>
          <w:rFonts w:hint="eastAsia" w:ascii="宋体" w:hAnsi="宋体" w:eastAsia="宋体" w:cs="宋体"/>
          <w:kern w:val="0"/>
          <w:sz w:val="24"/>
          <w:szCs w:val="24"/>
          <w:vertAlign w:val="superscript"/>
        </w:rPr>
        <w:t>c</w:t>
      </w:r>
      <w:r>
        <w:rPr>
          <w:rFonts w:hint="eastAsia" w:ascii="宋体" w:hAnsi="宋体" w:eastAsia="宋体" w:cs="宋体"/>
          <w:kern w:val="0"/>
          <w:sz w:val="24"/>
          <w:szCs w:val="24"/>
        </w:rPr>
        <w:t>P与手套组比较P＜0.05</w:t>
      </w:r>
    </w:p>
    <w:p w14:paraId="34F595A9">
      <w:pPr>
        <w:pStyle w:val="27"/>
        <w:keepLines w:val="0"/>
        <w:pageBreakBefore w:val="0"/>
        <w:kinsoku/>
        <w:wordWrap/>
        <w:overflowPunct/>
        <w:topLinePunct w:val="0"/>
        <w:autoSpaceDE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表3.3 治疗前后 U-FMA远端评分比较</w:t>
      </w:r>
    </w:p>
    <w:tbl>
      <w:tblPr>
        <w:tblStyle w:val="11"/>
        <w:tblW w:w="8905" w:type="dxa"/>
        <w:tblInd w:w="135" w:type="dxa"/>
        <w:tblLayout w:type="autofit"/>
        <w:tblCellMar>
          <w:top w:w="0" w:type="dxa"/>
          <w:left w:w="108" w:type="dxa"/>
          <w:bottom w:w="0" w:type="dxa"/>
          <w:right w:w="108" w:type="dxa"/>
        </w:tblCellMar>
      </w:tblPr>
      <w:tblGrid>
        <w:gridCol w:w="1044"/>
        <w:gridCol w:w="2604"/>
        <w:gridCol w:w="2616"/>
        <w:gridCol w:w="972"/>
        <w:gridCol w:w="1861"/>
      </w:tblGrid>
      <w:tr w14:paraId="4C90D2A3">
        <w:tblPrEx>
          <w:tblCellMar>
            <w:top w:w="0" w:type="dxa"/>
            <w:left w:w="108" w:type="dxa"/>
            <w:bottom w:w="0" w:type="dxa"/>
            <w:right w:w="108" w:type="dxa"/>
          </w:tblCellMar>
        </w:tblPrEx>
        <w:trPr>
          <w:trHeight w:val="291" w:hRule="atLeast"/>
        </w:trPr>
        <w:tc>
          <w:tcPr>
            <w:tcW w:w="1044" w:type="dxa"/>
            <w:tcBorders>
              <w:top w:val="single" w:color="000000" w:sz="8" w:space="0"/>
              <w:left w:val="nil"/>
              <w:bottom w:val="single" w:color="000000" w:sz="8" w:space="0"/>
              <w:right w:val="nil"/>
            </w:tcBorders>
            <w:noWrap/>
            <w:vAlign w:val="center"/>
          </w:tcPr>
          <w:p w14:paraId="4C7B4BC3">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分组</w:t>
            </w:r>
          </w:p>
        </w:tc>
        <w:tc>
          <w:tcPr>
            <w:tcW w:w="2604" w:type="dxa"/>
            <w:tcBorders>
              <w:top w:val="single" w:color="000000" w:sz="8" w:space="0"/>
              <w:left w:val="nil"/>
              <w:bottom w:val="single" w:color="000000" w:sz="8" w:space="0"/>
              <w:right w:val="nil"/>
            </w:tcBorders>
            <w:noWrap/>
            <w:vAlign w:val="center"/>
          </w:tcPr>
          <w:p w14:paraId="311649BD">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治疗前</w:t>
            </w:r>
          </w:p>
        </w:tc>
        <w:tc>
          <w:tcPr>
            <w:tcW w:w="2424" w:type="dxa"/>
            <w:tcBorders>
              <w:top w:val="single" w:color="000000" w:sz="8" w:space="0"/>
              <w:left w:val="nil"/>
              <w:bottom w:val="single" w:color="000000" w:sz="8" w:space="0"/>
              <w:right w:val="nil"/>
            </w:tcBorders>
            <w:noWrap/>
            <w:vAlign w:val="center"/>
          </w:tcPr>
          <w:p w14:paraId="3F179F97">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治疗后</w:t>
            </w:r>
          </w:p>
        </w:tc>
        <w:tc>
          <w:tcPr>
            <w:tcW w:w="972" w:type="dxa"/>
            <w:tcBorders>
              <w:top w:val="single" w:color="000000" w:sz="8" w:space="0"/>
              <w:left w:val="nil"/>
              <w:bottom w:val="single" w:color="000000" w:sz="8" w:space="0"/>
              <w:right w:val="nil"/>
            </w:tcBorders>
            <w:noWrap/>
            <w:vAlign w:val="center"/>
          </w:tcPr>
          <w:p w14:paraId="08524C16">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z</w:t>
            </w:r>
          </w:p>
        </w:tc>
        <w:tc>
          <w:tcPr>
            <w:tcW w:w="1861" w:type="dxa"/>
            <w:tcBorders>
              <w:top w:val="single" w:color="000000" w:sz="8" w:space="0"/>
              <w:left w:val="nil"/>
              <w:bottom w:val="single" w:color="000000" w:sz="8" w:space="0"/>
              <w:right w:val="nil"/>
            </w:tcBorders>
            <w:noWrap/>
            <w:vAlign w:val="center"/>
          </w:tcPr>
          <w:p w14:paraId="583D8E81">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P</w:t>
            </w:r>
          </w:p>
        </w:tc>
      </w:tr>
      <w:tr w14:paraId="57AC6AC2">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noWrap/>
            <w:vAlign w:val="center"/>
          </w:tcPr>
          <w:p w14:paraId="6AEDA701">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对照组</w:t>
            </w:r>
          </w:p>
        </w:tc>
        <w:tc>
          <w:tcPr>
            <w:tcW w:w="2604" w:type="dxa"/>
            <w:tcBorders>
              <w:top w:val="nil"/>
              <w:left w:val="nil"/>
              <w:bottom w:val="nil"/>
              <w:right w:val="nil"/>
            </w:tcBorders>
            <w:noWrap/>
            <w:vAlign w:val="center"/>
          </w:tcPr>
          <w:p w14:paraId="3A2CD1DE">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0.00(0.00,2.00)</w:t>
            </w:r>
          </w:p>
        </w:tc>
        <w:tc>
          <w:tcPr>
            <w:tcW w:w="2424" w:type="dxa"/>
            <w:tcBorders>
              <w:top w:val="nil"/>
              <w:left w:val="nil"/>
              <w:bottom w:val="nil"/>
              <w:right w:val="nil"/>
            </w:tcBorders>
            <w:noWrap/>
            <w:vAlign w:val="center"/>
          </w:tcPr>
          <w:p w14:paraId="647BF8E7">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5.00(1.00,12.00)</w:t>
            </w:r>
            <w:r>
              <w:rPr>
                <w:rFonts w:hint="eastAsia" w:ascii="宋体" w:hAnsi="宋体" w:eastAsia="宋体" w:cs="宋体"/>
                <w:kern w:val="0"/>
                <w:sz w:val="24"/>
                <w:szCs w:val="24"/>
                <w:vertAlign w:val="superscript"/>
              </w:rPr>
              <w:t>a</w:t>
            </w:r>
          </w:p>
        </w:tc>
        <w:tc>
          <w:tcPr>
            <w:tcW w:w="972" w:type="dxa"/>
            <w:tcBorders>
              <w:top w:val="nil"/>
              <w:left w:val="nil"/>
              <w:bottom w:val="nil"/>
              <w:right w:val="nil"/>
            </w:tcBorders>
            <w:noWrap/>
            <w:vAlign w:val="center"/>
          </w:tcPr>
          <w:p w14:paraId="0308AC29">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-3.415</w:t>
            </w:r>
          </w:p>
        </w:tc>
        <w:tc>
          <w:tcPr>
            <w:tcW w:w="1861" w:type="dxa"/>
            <w:tcBorders>
              <w:top w:val="nil"/>
              <w:left w:val="nil"/>
              <w:bottom w:val="nil"/>
              <w:right w:val="nil"/>
            </w:tcBorders>
            <w:noWrap/>
            <w:vAlign w:val="center"/>
          </w:tcPr>
          <w:p w14:paraId="7EC14621">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0.001</w:t>
            </w:r>
          </w:p>
        </w:tc>
      </w:tr>
      <w:tr w14:paraId="34BB91FE">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noWrap/>
            <w:vAlign w:val="center"/>
          </w:tcPr>
          <w:p w14:paraId="0C886E52">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手套组</w:t>
            </w:r>
          </w:p>
        </w:tc>
        <w:tc>
          <w:tcPr>
            <w:tcW w:w="2604" w:type="dxa"/>
            <w:tcBorders>
              <w:top w:val="nil"/>
              <w:left w:val="nil"/>
              <w:bottom w:val="nil"/>
              <w:right w:val="nil"/>
            </w:tcBorders>
            <w:noWrap/>
            <w:vAlign w:val="center"/>
          </w:tcPr>
          <w:p w14:paraId="68FCEB18">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0.50(0.00,2.00)</w:t>
            </w:r>
          </w:p>
        </w:tc>
        <w:tc>
          <w:tcPr>
            <w:tcW w:w="2424" w:type="dxa"/>
            <w:tcBorders>
              <w:top w:val="nil"/>
              <w:left w:val="nil"/>
              <w:bottom w:val="nil"/>
              <w:right w:val="nil"/>
            </w:tcBorders>
            <w:noWrap/>
            <w:vAlign w:val="center"/>
          </w:tcPr>
          <w:p w14:paraId="49D3F779">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4.00(1.00,12.25)</w:t>
            </w:r>
            <w:r>
              <w:rPr>
                <w:rFonts w:hint="eastAsia" w:ascii="宋体" w:hAnsi="宋体" w:eastAsia="宋体" w:cs="宋体"/>
                <w:kern w:val="0"/>
                <w:sz w:val="24"/>
                <w:szCs w:val="24"/>
                <w:vertAlign w:val="superscript"/>
              </w:rPr>
              <w:t>a</w:t>
            </w:r>
          </w:p>
        </w:tc>
        <w:tc>
          <w:tcPr>
            <w:tcW w:w="972" w:type="dxa"/>
            <w:tcBorders>
              <w:top w:val="nil"/>
              <w:left w:val="nil"/>
              <w:bottom w:val="nil"/>
              <w:right w:val="nil"/>
            </w:tcBorders>
            <w:noWrap/>
            <w:vAlign w:val="center"/>
          </w:tcPr>
          <w:p w14:paraId="63C9AB2E">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-2.769</w:t>
            </w:r>
          </w:p>
        </w:tc>
        <w:tc>
          <w:tcPr>
            <w:tcW w:w="1861" w:type="dxa"/>
            <w:tcBorders>
              <w:top w:val="nil"/>
              <w:left w:val="nil"/>
              <w:bottom w:val="nil"/>
              <w:right w:val="nil"/>
            </w:tcBorders>
            <w:noWrap/>
            <w:vAlign w:val="center"/>
          </w:tcPr>
          <w:p w14:paraId="4AB8F5D4">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0.006</w:t>
            </w:r>
          </w:p>
        </w:tc>
      </w:tr>
      <w:tr w14:paraId="62CFB80E">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noWrap/>
            <w:vAlign w:val="center"/>
          </w:tcPr>
          <w:p w14:paraId="1ADC9E29">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镜像组</w:t>
            </w:r>
          </w:p>
        </w:tc>
        <w:tc>
          <w:tcPr>
            <w:tcW w:w="2604" w:type="dxa"/>
            <w:tcBorders>
              <w:top w:val="nil"/>
              <w:left w:val="nil"/>
              <w:bottom w:val="nil"/>
              <w:right w:val="nil"/>
            </w:tcBorders>
            <w:noWrap/>
            <w:vAlign w:val="center"/>
          </w:tcPr>
          <w:p w14:paraId="1CAC390E">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0.00(0.00,1.75)</w:t>
            </w:r>
          </w:p>
        </w:tc>
        <w:tc>
          <w:tcPr>
            <w:tcW w:w="2424" w:type="dxa"/>
            <w:tcBorders>
              <w:top w:val="nil"/>
              <w:left w:val="nil"/>
              <w:bottom w:val="nil"/>
              <w:right w:val="nil"/>
            </w:tcBorders>
            <w:noWrap/>
            <w:vAlign w:val="center"/>
          </w:tcPr>
          <w:p w14:paraId="16157D5E">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3.00(1.00,12.75)</w:t>
            </w:r>
            <w:r>
              <w:rPr>
                <w:rFonts w:hint="eastAsia" w:ascii="宋体" w:hAnsi="宋体" w:eastAsia="宋体" w:cs="宋体"/>
                <w:kern w:val="0"/>
                <w:sz w:val="24"/>
                <w:szCs w:val="24"/>
                <w:vertAlign w:val="superscript"/>
              </w:rPr>
              <w:t>a</w:t>
            </w:r>
          </w:p>
        </w:tc>
        <w:tc>
          <w:tcPr>
            <w:tcW w:w="972" w:type="dxa"/>
            <w:tcBorders>
              <w:top w:val="nil"/>
              <w:left w:val="nil"/>
              <w:bottom w:val="nil"/>
              <w:right w:val="nil"/>
            </w:tcBorders>
            <w:noWrap/>
            <w:vAlign w:val="center"/>
          </w:tcPr>
          <w:p w14:paraId="51774A3A">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-3.419</w:t>
            </w:r>
          </w:p>
        </w:tc>
        <w:tc>
          <w:tcPr>
            <w:tcW w:w="1861" w:type="dxa"/>
            <w:tcBorders>
              <w:top w:val="nil"/>
              <w:left w:val="nil"/>
              <w:bottom w:val="nil"/>
              <w:right w:val="nil"/>
            </w:tcBorders>
            <w:noWrap/>
            <w:vAlign w:val="center"/>
          </w:tcPr>
          <w:p w14:paraId="68676D0F">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 xml:space="preserve">0.001 </w:t>
            </w:r>
          </w:p>
        </w:tc>
      </w:tr>
      <w:tr w14:paraId="30A75D5E">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noWrap/>
            <w:vAlign w:val="center"/>
          </w:tcPr>
          <w:p w14:paraId="55D4E898">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联合组</w:t>
            </w:r>
          </w:p>
        </w:tc>
        <w:tc>
          <w:tcPr>
            <w:tcW w:w="2604" w:type="dxa"/>
            <w:tcBorders>
              <w:top w:val="nil"/>
              <w:left w:val="nil"/>
              <w:bottom w:val="nil"/>
              <w:right w:val="nil"/>
            </w:tcBorders>
            <w:noWrap/>
            <w:vAlign w:val="center"/>
          </w:tcPr>
          <w:p w14:paraId="63EC048E">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2.00(0.25,6.75)</w:t>
            </w:r>
          </w:p>
        </w:tc>
        <w:tc>
          <w:tcPr>
            <w:tcW w:w="2424" w:type="dxa"/>
            <w:tcBorders>
              <w:top w:val="nil"/>
              <w:left w:val="nil"/>
              <w:bottom w:val="nil"/>
              <w:right w:val="nil"/>
            </w:tcBorders>
            <w:noWrap/>
            <w:vAlign w:val="center"/>
          </w:tcPr>
          <w:p w14:paraId="7077A6A8">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17.00(11.25,20.75)</w:t>
            </w:r>
            <w:r>
              <w:rPr>
                <w:rFonts w:hint="eastAsia" w:ascii="宋体" w:hAnsi="宋体" w:eastAsia="宋体" w:cs="宋体"/>
                <w:kern w:val="0"/>
                <w:sz w:val="24"/>
                <w:szCs w:val="24"/>
                <w:vertAlign w:val="superscript"/>
              </w:rPr>
              <w:t>abcd</w:t>
            </w:r>
          </w:p>
        </w:tc>
        <w:tc>
          <w:tcPr>
            <w:tcW w:w="972" w:type="dxa"/>
            <w:tcBorders>
              <w:top w:val="nil"/>
              <w:left w:val="nil"/>
              <w:bottom w:val="nil"/>
              <w:right w:val="nil"/>
            </w:tcBorders>
            <w:noWrap/>
            <w:vAlign w:val="center"/>
          </w:tcPr>
          <w:p w14:paraId="39416A86">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-3.727</w:t>
            </w:r>
          </w:p>
        </w:tc>
        <w:tc>
          <w:tcPr>
            <w:tcW w:w="1861" w:type="dxa"/>
            <w:tcBorders>
              <w:top w:val="nil"/>
              <w:left w:val="nil"/>
              <w:bottom w:val="nil"/>
              <w:right w:val="nil"/>
            </w:tcBorders>
            <w:noWrap/>
            <w:vAlign w:val="center"/>
          </w:tcPr>
          <w:p w14:paraId="1DA07B50">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0.000</w:t>
            </w:r>
          </w:p>
        </w:tc>
      </w:tr>
      <w:tr w14:paraId="1323B83F">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noWrap/>
            <w:vAlign w:val="center"/>
          </w:tcPr>
          <w:p w14:paraId="1FB5A68F">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统计量</w:t>
            </w:r>
          </w:p>
        </w:tc>
        <w:tc>
          <w:tcPr>
            <w:tcW w:w="2604" w:type="dxa"/>
            <w:tcBorders>
              <w:top w:val="nil"/>
              <w:left w:val="nil"/>
              <w:bottom w:val="nil"/>
              <w:right w:val="nil"/>
            </w:tcBorders>
            <w:noWrap/>
            <w:vAlign w:val="center"/>
          </w:tcPr>
          <w:p w14:paraId="16C37366">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7.454</w:t>
            </w:r>
          </w:p>
        </w:tc>
        <w:tc>
          <w:tcPr>
            <w:tcW w:w="2424" w:type="dxa"/>
            <w:tcBorders>
              <w:top w:val="nil"/>
              <w:left w:val="nil"/>
              <w:bottom w:val="nil"/>
              <w:right w:val="nil"/>
            </w:tcBorders>
            <w:noWrap/>
            <w:vAlign w:val="center"/>
          </w:tcPr>
          <w:p w14:paraId="632ED36A">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10.359</w:t>
            </w:r>
          </w:p>
        </w:tc>
        <w:tc>
          <w:tcPr>
            <w:tcW w:w="972" w:type="dxa"/>
            <w:tcBorders>
              <w:top w:val="nil"/>
              <w:left w:val="nil"/>
              <w:bottom w:val="nil"/>
              <w:right w:val="nil"/>
            </w:tcBorders>
            <w:noWrap/>
            <w:vAlign w:val="center"/>
          </w:tcPr>
          <w:p w14:paraId="16716EAA">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p>
        </w:tc>
        <w:tc>
          <w:tcPr>
            <w:tcW w:w="1861" w:type="dxa"/>
            <w:tcBorders>
              <w:top w:val="nil"/>
              <w:left w:val="nil"/>
              <w:bottom w:val="nil"/>
              <w:right w:val="nil"/>
            </w:tcBorders>
            <w:noWrap/>
            <w:vAlign w:val="center"/>
          </w:tcPr>
          <w:p w14:paraId="18AF2B7A">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p>
        </w:tc>
      </w:tr>
      <w:tr w14:paraId="66E9E2DE">
        <w:tblPrEx>
          <w:tblCellMar>
            <w:top w:w="0" w:type="dxa"/>
            <w:left w:w="108" w:type="dxa"/>
            <w:bottom w:w="0" w:type="dxa"/>
            <w:right w:w="108" w:type="dxa"/>
          </w:tblCellMar>
        </w:tblPrEx>
        <w:trPr>
          <w:trHeight w:val="303" w:hRule="atLeast"/>
        </w:trPr>
        <w:tc>
          <w:tcPr>
            <w:tcW w:w="1044" w:type="dxa"/>
            <w:tcBorders>
              <w:top w:val="nil"/>
              <w:left w:val="nil"/>
              <w:bottom w:val="nil"/>
              <w:right w:val="nil"/>
            </w:tcBorders>
            <w:noWrap/>
            <w:vAlign w:val="center"/>
          </w:tcPr>
          <w:p w14:paraId="5C6002F4">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P值</w:t>
            </w:r>
          </w:p>
        </w:tc>
        <w:tc>
          <w:tcPr>
            <w:tcW w:w="2604" w:type="dxa"/>
            <w:tcBorders>
              <w:top w:val="nil"/>
              <w:left w:val="nil"/>
              <w:bottom w:val="nil"/>
              <w:right w:val="nil"/>
            </w:tcBorders>
            <w:noWrap/>
            <w:vAlign w:val="center"/>
          </w:tcPr>
          <w:p w14:paraId="6A5E4213">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0.059</w:t>
            </w:r>
          </w:p>
        </w:tc>
        <w:tc>
          <w:tcPr>
            <w:tcW w:w="2424" w:type="dxa"/>
            <w:tcBorders>
              <w:top w:val="nil"/>
              <w:left w:val="nil"/>
              <w:bottom w:val="nil"/>
              <w:right w:val="nil"/>
            </w:tcBorders>
            <w:noWrap/>
            <w:vAlign w:val="center"/>
          </w:tcPr>
          <w:p w14:paraId="3D19C146">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0.016</w:t>
            </w:r>
          </w:p>
        </w:tc>
        <w:tc>
          <w:tcPr>
            <w:tcW w:w="972" w:type="dxa"/>
            <w:tcBorders>
              <w:top w:val="nil"/>
              <w:left w:val="nil"/>
              <w:bottom w:val="nil"/>
              <w:right w:val="nil"/>
            </w:tcBorders>
            <w:noWrap/>
            <w:vAlign w:val="center"/>
          </w:tcPr>
          <w:p w14:paraId="20186343">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p>
        </w:tc>
        <w:tc>
          <w:tcPr>
            <w:tcW w:w="1861" w:type="dxa"/>
            <w:tcBorders>
              <w:top w:val="nil"/>
              <w:left w:val="nil"/>
              <w:bottom w:val="nil"/>
              <w:right w:val="nil"/>
            </w:tcBorders>
            <w:noWrap/>
            <w:vAlign w:val="center"/>
          </w:tcPr>
          <w:p w14:paraId="62A4CA18">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p>
        </w:tc>
      </w:tr>
      <w:tr w14:paraId="5A69C1C0">
        <w:tblPrEx>
          <w:tblCellMar>
            <w:top w:w="0" w:type="dxa"/>
            <w:left w:w="108" w:type="dxa"/>
            <w:bottom w:w="0" w:type="dxa"/>
            <w:right w:w="108" w:type="dxa"/>
          </w:tblCellMar>
        </w:tblPrEx>
        <w:trPr>
          <w:trHeight w:val="303" w:hRule="atLeast"/>
        </w:trPr>
        <w:tc>
          <w:tcPr>
            <w:tcW w:w="1044" w:type="dxa"/>
            <w:tcBorders>
              <w:top w:val="nil"/>
              <w:left w:val="nil"/>
              <w:bottom w:val="single" w:color="000000" w:sz="8" w:space="0"/>
              <w:right w:val="nil"/>
            </w:tcBorders>
            <w:noWrap/>
            <w:vAlign w:val="center"/>
          </w:tcPr>
          <w:p w14:paraId="35B14AEC">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p>
        </w:tc>
        <w:tc>
          <w:tcPr>
            <w:tcW w:w="2604" w:type="dxa"/>
            <w:tcBorders>
              <w:top w:val="nil"/>
              <w:left w:val="nil"/>
              <w:bottom w:val="single" w:color="000000" w:sz="8" w:space="0"/>
              <w:right w:val="nil"/>
            </w:tcBorders>
            <w:noWrap/>
            <w:vAlign w:val="center"/>
          </w:tcPr>
          <w:p w14:paraId="6D940544">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p>
        </w:tc>
        <w:tc>
          <w:tcPr>
            <w:tcW w:w="2424" w:type="dxa"/>
            <w:tcBorders>
              <w:top w:val="nil"/>
              <w:left w:val="nil"/>
              <w:bottom w:val="single" w:color="000000" w:sz="8" w:space="0"/>
              <w:right w:val="nil"/>
            </w:tcBorders>
            <w:noWrap/>
            <w:vAlign w:val="center"/>
          </w:tcPr>
          <w:p w14:paraId="629AF11F">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p>
        </w:tc>
        <w:tc>
          <w:tcPr>
            <w:tcW w:w="972" w:type="dxa"/>
            <w:tcBorders>
              <w:top w:val="nil"/>
              <w:left w:val="nil"/>
              <w:bottom w:val="single" w:color="000000" w:sz="8" w:space="0"/>
              <w:right w:val="nil"/>
            </w:tcBorders>
            <w:noWrap/>
            <w:vAlign w:val="center"/>
          </w:tcPr>
          <w:p w14:paraId="6D210FFF">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p>
        </w:tc>
        <w:tc>
          <w:tcPr>
            <w:tcW w:w="1861" w:type="dxa"/>
            <w:tcBorders>
              <w:top w:val="nil"/>
              <w:left w:val="nil"/>
              <w:bottom w:val="single" w:color="000000" w:sz="8" w:space="0"/>
              <w:right w:val="nil"/>
            </w:tcBorders>
            <w:noWrap/>
            <w:vAlign w:val="center"/>
          </w:tcPr>
          <w:p w14:paraId="286F8C65">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p>
        </w:tc>
      </w:tr>
    </w:tbl>
    <w:p w14:paraId="263AD265">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kern w:val="0"/>
          <w:sz w:val="24"/>
          <w:szCs w:val="24"/>
        </w:rPr>
      </w:pPr>
      <w:r>
        <w:rPr>
          <w:rFonts w:hint="eastAsia" w:ascii="宋体" w:hAnsi="宋体" w:eastAsia="宋体" w:cs="宋体"/>
          <w:kern w:val="0"/>
          <w:sz w:val="24"/>
          <w:szCs w:val="24"/>
        </w:rPr>
        <w:t>注：</w:t>
      </w:r>
      <w:r>
        <w:rPr>
          <w:rFonts w:hint="eastAsia" w:ascii="宋体" w:hAnsi="宋体" w:eastAsia="宋体" w:cs="宋体"/>
          <w:kern w:val="0"/>
          <w:sz w:val="24"/>
          <w:szCs w:val="24"/>
          <w:vertAlign w:val="superscript"/>
        </w:rPr>
        <w:t>a</w:t>
      </w:r>
      <w:r>
        <w:rPr>
          <w:rFonts w:hint="eastAsia" w:ascii="宋体" w:hAnsi="宋体" w:eastAsia="宋体" w:cs="宋体"/>
          <w:kern w:val="0"/>
          <w:sz w:val="24"/>
          <w:szCs w:val="24"/>
        </w:rPr>
        <w:t>P与治疗前比较P＜0.05，</w:t>
      </w:r>
      <w:r>
        <w:rPr>
          <w:rFonts w:hint="eastAsia" w:ascii="宋体" w:hAnsi="宋体" w:eastAsia="宋体" w:cs="宋体"/>
          <w:kern w:val="0"/>
          <w:sz w:val="24"/>
          <w:szCs w:val="24"/>
          <w:vertAlign w:val="superscript"/>
        </w:rPr>
        <w:t>b</w:t>
      </w:r>
      <w:r>
        <w:rPr>
          <w:rFonts w:hint="eastAsia" w:ascii="宋体" w:hAnsi="宋体" w:eastAsia="宋体" w:cs="宋体"/>
          <w:kern w:val="0"/>
          <w:sz w:val="24"/>
          <w:szCs w:val="24"/>
        </w:rPr>
        <w:t>P与对照组比较P＜0.05，</w:t>
      </w:r>
      <w:r>
        <w:rPr>
          <w:rFonts w:hint="eastAsia" w:ascii="宋体" w:hAnsi="宋体" w:eastAsia="宋体" w:cs="宋体"/>
          <w:kern w:val="0"/>
          <w:sz w:val="24"/>
          <w:szCs w:val="24"/>
          <w:vertAlign w:val="superscript"/>
        </w:rPr>
        <w:t>c</w:t>
      </w:r>
      <w:r>
        <w:rPr>
          <w:rFonts w:hint="eastAsia" w:ascii="宋体" w:hAnsi="宋体" w:eastAsia="宋体" w:cs="宋体"/>
          <w:kern w:val="0"/>
          <w:sz w:val="24"/>
          <w:szCs w:val="24"/>
        </w:rPr>
        <w:t>P与镜像组比较P＜0.05,</w:t>
      </w:r>
      <w:r>
        <w:rPr>
          <w:rFonts w:hint="eastAsia" w:ascii="宋体" w:hAnsi="宋体" w:eastAsia="宋体" w:cs="宋体"/>
          <w:kern w:val="0"/>
          <w:sz w:val="24"/>
          <w:szCs w:val="24"/>
          <w:vertAlign w:val="superscript"/>
        </w:rPr>
        <w:t>d</w:t>
      </w:r>
      <w:r>
        <w:rPr>
          <w:rFonts w:hint="eastAsia" w:ascii="宋体" w:hAnsi="宋体" w:eastAsia="宋体" w:cs="宋体"/>
          <w:kern w:val="0"/>
          <w:sz w:val="24"/>
          <w:szCs w:val="24"/>
        </w:rPr>
        <w:t>P与手套组比较P＜0.05</w:t>
      </w:r>
    </w:p>
    <w:p w14:paraId="39A638E5">
      <w:pPr>
        <w:keepLines w:val="0"/>
        <w:pageBreakBefore w:val="0"/>
        <w:kinsoku/>
        <w:wordWrap/>
        <w:overflowPunct/>
        <w:topLinePunct w:val="0"/>
        <w:autoSpaceDN/>
        <w:bidi w:val="0"/>
        <w:spacing w:line="240" w:lineRule="auto"/>
        <w:ind w:left="0" w:leftChars="0" w:firstLine="480" w:firstLineChars="200"/>
        <w:jc w:val="left"/>
        <w:rPr>
          <w:rFonts w:hint="eastAsia" w:ascii="宋体" w:hAnsi="宋体" w:eastAsia="宋体" w:cs="宋体"/>
          <w:sz w:val="24"/>
          <w:szCs w:val="24"/>
        </w:rPr>
      </w:pPr>
      <w:r>
        <w:rPr>
          <w:rFonts w:hint="eastAsia" w:ascii="宋体" w:hAnsi="宋体" w:eastAsia="宋体" w:cs="宋体"/>
          <w:sz w:val="24"/>
          <w:szCs w:val="24"/>
        </w:rPr>
        <w:t>进一步两两比较发现，联合组的U-FMA近端、远端评分显著高于对照组与手套组（|Z|＞16.961，P＜0.05）。联合组与镜像组在U-FMA近端评分差异不显著（P＞0.05），远端评分差异显著（Z = -19.975，p = 0.006）；联合组与手套组，镜像组与手套组及镜像组与对照组、手套组与对照组之间差异不显著（P＞0.05）</w:t>
      </w:r>
      <w:r>
        <w:rPr>
          <w:rFonts w:hint="eastAsia" w:ascii="宋体" w:hAnsi="宋体" w:eastAsia="宋体" w:cs="宋体"/>
          <w:color w:val="FF0000"/>
          <w:sz w:val="24"/>
          <w:szCs w:val="24"/>
        </w:rPr>
        <w:t>，详</w:t>
      </w:r>
      <w:r>
        <w:rPr>
          <w:rFonts w:hint="eastAsia" w:ascii="宋体" w:hAnsi="宋体" w:eastAsia="宋体" w:cs="宋体"/>
          <w:sz w:val="24"/>
          <w:szCs w:val="24"/>
        </w:rPr>
        <w:t>见表3.4。进行析因分析发现，FMA远端主体间差异明显（F＞4.50，P＜0.04），且存在交互效用，且有统计学意义（F=8.13，P=0.006）。交互作用图见图3.1。</w:t>
      </w:r>
    </w:p>
    <w:p w14:paraId="38E1789E">
      <w:pPr>
        <w:pStyle w:val="27"/>
        <w:keepLines w:val="0"/>
        <w:pageBreakBefore w:val="0"/>
        <w:kinsoku/>
        <w:wordWrap/>
        <w:overflowPunct/>
        <w:topLinePunct w:val="0"/>
        <w:autoSpaceDE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表3.4 治疗后组间运动功能两两比较</w:t>
      </w:r>
    </w:p>
    <w:tbl>
      <w:tblPr>
        <w:tblStyle w:val="11"/>
        <w:tblW w:w="8940" w:type="dxa"/>
        <w:tblInd w:w="96" w:type="dxa"/>
        <w:tblLayout w:type="autofit"/>
        <w:tblCellMar>
          <w:top w:w="0" w:type="dxa"/>
          <w:left w:w="108" w:type="dxa"/>
          <w:bottom w:w="0" w:type="dxa"/>
          <w:right w:w="108" w:type="dxa"/>
        </w:tblCellMar>
      </w:tblPr>
      <w:tblGrid>
        <w:gridCol w:w="1200"/>
        <w:gridCol w:w="1200"/>
        <w:gridCol w:w="1740"/>
        <w:gridCol w:w="960"/>
        <w:gridCol w:w="1056"/>
        <w:gridCol w:w="960"/>
        <w:gridCol w:w="1056"/>
        <w:gridCol w:w="960"/>
      </w:tblGrid>
      <w:tr w14:paraId="45C4268F">
        <w:trPr>
          <w:trHeight w:val="303" w:hRule="atLeast"/>
        </w:trPr>
        <w:tc>
          <w:tcPr>
            <w:tcW w:w="2400" w:type="dxa"/>
            <w:gridSpan w:val="2"/>
            <w:tcBorders>
              <w:top w:val="single" w:color="000000" w:sz="8" w:space="0"/>
              <w:left w:val="nil"/>
              <w:bottom w:val="single" w:color="000000" w:sz="8" w:space="0"/>
              <w:right w:val="nil"/>
            </w:tcBorders>
            <w:noWrap/>
            <w:vAlign w:val="center"/>
          </w:tcPr>
          <w:p w14:paraId="3CDD0D8E">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sz w:val="24"/>
                <w:szCs w:val="24"/>
              </w:rPr>
            </w:pPr>
            <w:r>
              <w:rPr>
                <w:rFonts w:hint="eastAsia" w:ascii="宋体" w:hAnsi="宋体" w:eastAsia="宋体" w:cs="宋体"/>
                <w:kern w:val="0"/>
                <w:sz w:val="24"/>
                <w:szCs w:val="24"/>
              </w:rPr>
              <w:t>两两比较结果</w:t>
            </w:r>
          </w:p>
        </w:tc>
        <w:tc>
          <w:tcPr>
            <w:tcW w:w="1740" w:type="dxa"/>
            <w:tcBorders>
              <w:top w:val="single" w:color="000000" w:sz="8" w:space="0"/>
              <w:left w:val="nil"/>
              <w:bottom w:val="single" w:color="000000" w:sz="8" w:space="0"/>
              <w:right w:val="nil"/>
            </w:tcBorders>
            <w:noWrap/>
            <w:vAlign w:val="center"/>
          </w:tcPr>
          <w:p w14:paraId="075DD75B">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U-FMA近端统计量（T值）</w:t>
            </w:r>
          </w:p>
        </w:tc>
        <w:tc>
          <w:tcPr>
            <w:tcW w:w="960" w:type="dxa"/>
            <w:tcBorders>
              <w:top w:val="single" w:color="000000" w:sz="8" w:space="0"/>
              <w:left w:val="nil"/>
              <w:bottom w:val="single" w:color="000000" w:sz="8" w:space="0"/>
              <w:right w:val="nil"/>
            </w:tcBorders>
            <w:noWrap/>
            <w:vAlign w:val="center"/>
          </w:tcPr>
          <w:p w14:paraId="361B7E93">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P</w:t>
            </w:r>
          </w:p>
        </w:tc>
        <w:tc>
          <w:tcPr>
            <w:tcW w:w="960" w:type="dxa"/>
            <w:tcBorders>
              <w:top w:val="single" w:color="000000" w:sz="8" w:space="0"/>
              <w:left w:val="nil"/>
              <w:bottom w:val="single" w:color="000000" w:sz="8" w:space="0"/>
              <w:right w:val="nil"/>
            </w:tcBorders>
            <w:noWrap/>
            <w:vAlign w:val="center"/>
          </w:tcPr>
          <w:p w14:paraId="57D38FF0">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U-FMA远端统计量（Z值）</w:t>
            </w:r>
          </w:p>
        </w:tc>
        <w:tc>
          <w:tcPr>
            <w:tcW w:w="960" w:type="dxa"/>
            <w:tcBorders>
              <w:top w:val="single" w:color="000000" w:sz="8" w:space="0"/>
              <w:left w:val="nil"/>
              <w:bottom w:val="single" w:color="000000" w:sz="8" w:space="0"/>
              <w:right w:val="nil"/>
            </w:tcBorders>
            <w:noWrap/>
            <w:vAlign w:val="center"/>
          </w:tcPr>
          <w:p w14:paraId="6A45CF6A">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sz w:val="24"/>
                <w:szCs w:val="24"/>
              </w:rPr>
            </w:pPr>
            <w:r>
              <w:rPr>
                <w:rFonts w:hint="eastAsia" w:ascii="宋体" w:hAnsi="宋体" w:eastAsia="宋体" w:cs="宋体"/>
                <w:kern w:val="0"/>
                <w:sz w:val="24"/>
                <w:szCs w:val="24"/>
              </w:rPr>
              <w:t>P</w:t>
            </w:r>
          </w:p>
        </w:tc>
        <w:tc>
          <w:tcPr>
            <w:tcW w:w="960" w:type="dxa"/>
            <w:tcBorders>
              <w:top w:val="single" w:color="000000" w:sz="8" w:space="0"/>
              <w:left w:val="nil"/>
              <w:bottom w:val="single" w:color="000000" w:sz="8" w:space="0"/>
              <w:right w:val="nil"/>
            </w:tcBorders>
            <w:noWrap/>
            <w:vAlign w:val="center"/>
          </w:tcPr>
          <w:p w14:paraId="1332FE8F">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sz w:val="24"/>
                <w:szCs w:val="24"/>
              </w:rPr>
            </w:pPr>
            <w:r>
              <w:rPr>
                <w:rFonts w:hint="eastAsia" w:ascii="宋体" w:hAnsi="宋体" w:eastAsia="宋体" w:cs="宋体"/>
                <w:kern w:val="0"/>
                <w:sz w:val="24"/>
                <w:szCs w:val="24"/>
              </w:rPr>
              <w:t>ARAT统计量（Z值）</w:t>
            </w:r>
          </w:p>
        </w:tc>
        <w:tc>
          <w:tcPr>
            <w:tcW w:w="960" w:type="dxa"/>
            <w:tcBorders>
              <w:top w:val="single" w:color="000000" w:sz="8" w:space="0"/>
              <w:left w:val="nil"/>
              <w:bottom w:val="single" w:color="000000" w:sz="8" w:space="0"/>
              <w:right w:val="nil"/>
            </w:tcBorders>
            <w:noWrap/>
            <w:vAlign w:val="center"/>
          </w:tcPr>
          <w:p w14:paraId="265C80C1">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sz w:val="24"/>
                <w:szCs w:val="24"/>
              </w:rPr>
            </w:pPr>
            <w:r>
              <w:rPr>
                <w:rFonts w:hint="eastAsia" w:ascii="宋体" w:hAnsi="宋体" w:eastAsia="宋体" w:cs="宋体"/>
                <w:kern w:val="0"/>
                <w:sz w:val="24"/>
                <w:szCs w:val="24"/>
              </w:rPr>
              <w:t>P</w:t>
            </w:r>
          </w:p>
        </w:tc>
      </w:tr>
      <w:tr w14:paraId="2C9FF487">
        <w:tblPrEx>
          <w:tblCellMar>
            <w:top w:w="0" w:type="dxa"/>
            <w:left w:w="108" w:type="dxa"/>
            <w:bottom w:w="0" w:type="dxa"/>
            <w:right w:w="108" w:type="dxa"/>
          </w:tblCellMar>
        </w:tblPrEx>
        <w:trPr>
          <w:trHeight w:val="288" w:hRule="atLeast"/>
        </w:trPr>
        <w:tc>
          <w:tcPr>
            <w:tcW w:w="0" w:type="auto"/>
            <w:tcBorders>
              <w:top w:val="nil"/>
              <w:left w:val="nil"/>
              <w:bottom w:val="nil"/>
              <w:right w:val="nil"/>
            </w:tcBorders>
            <w:noWrap/>
            <w:vAlign w:val="center"/>
          </w:tcPr>
          <w:p w14:paraId="11080981">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对照组</w:t>
            </w:r>
          </w:p>
        </w:tc>
        <w:tc>
          <w:tcPr>
            <w:tcW w:w="0" w:type="auto"/>
            <w:tcBorders>
              <w:top w:val="nil"/>
              <w:left w:val="nil"/>
              <w:bottom w:val="nil"/>
              <w:right w:val="nil"/>
            </w:tcBorders>
            <w:noWrap/>
            <w:vAlign w:val="center"/>
          </w:tcPr>
          <w:p w14:paraId="7C614D43">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手套组</w:t>
            </w:r>
          </w:p>
        </w:tc>
        <w:tc>
          <w:tcPr>
            <w:tcW w:w="1740" w:type="dxa"/>
            <w:tcBorders>
              <w:top w:val="nil"/>
              <w:left w:val="nil"/>
              <w:bottom w:val="nil"/>
              <w:right w:val="nil"/>
            </w:tcBorders>
            <w:noWrap/>
            <w:vAlign w:val="center"/>
          </w:tcPr>
          <w:p w14:paraId="3BDDF468">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-2.44</w:t>
            </w:r>
          </w:p>
        </w:tc>
        <w:tc>
          <w:tcPr>
            <w:tcW w:w="960" w:type="dxa"/>
            <w:tcBorders>
              <w:top w:val="nil"/>
              <w:left w:val="nil"/>
              <w:bottom w:val="nil"/>
              <w:right w:val="nil"/>
            </w:tcBorders>
            <w:noWrap/>
            <w:vAlign w:val="center"/>
          </w:tcPr>
          <w:p w14:paraId="4CF6175E">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0.808</w:t>
            </w:r>
          </w:p>
        </w:tc>
        <w:tc>
          <w:tcPr>
            <w:tcW w:w="960" w:type="dxa"/>
            <w:tcBorders>
              <w:top w:val="nil"/>
              <w:left w:val="nil"/>
              <w:bottom w:val="nil"/>
              <w:right w:val="nil"/>
            </w:tcBorders>
            <w:noWrap/>
            <w:vAlign w:val="center"/>
          </w:tcPr>
          <w:p w14:paraId="17EB45F8">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-0.525</w:t>
            </w:r>
          </w:p>
        </w:tc>
        <w:tc>
          <w:tcPr>
            <w:tcW w:w="960" w:type="dxa"/>
            <w:tcBorders>
              <w:top w:val="nil"/>
              <w:left w:val="nil"/>
              <w:bottom w:val="nil"/>
              <w:right w:val="nil"/>
            </w:tcBorders>
            <w:noWrap/>
            <w:vAlign w:val="center"/>
          </w:tcPr>
          <w:p w14:paraId="37E8063F">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0.943</w:t>
            </w:r>
          </w:p>
        </w:tc>
        <w:tc>
          <w:tcPr>
            <w:tcW w:w="960" w:type="dxa"/>
            <w:tcBorders>
              <w:top w:val="nil"/>
              <w:left w:val="nil"/>
              <w:bottom w:val="nil"/>
              <w:right w:val="nil"/>
            </w:tcBorders>
            <w:noWrap/>
            <w:vAlign w:val="center"/>
          </w:tcPr>
          <w:p w14:paraId="5B447FD8">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-2.339</w:t>
            </w:r>
          </w:p>
        </w:tc>
        <w:tc>
          <w:tcPr>
            <w:tcW w:w="0" w:type="auto"/>
            <w:tcBorders>
              <w:top w:val="nil"/>
              <w:left w:val="nil"/>
              <w:bottom w:val="nil"/>
              <w:right w:val="nil"/>
            </w:tcBorders>
            <w:noWrap/>
            <w:vAlign w:val="center"/>
          </w:tcPr>
          <w:p w14:paraId="6DE95CF4">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0.749</w:t>
            </w:r>
          </w:p>
        </w:tc>
      </w:tr>
      <w:tr w14:paraId="5DE43527">
        <w:tblPrEx>
          <w:tblCellMar>
            <w:top w:w="0" w:type="dxa"/>
            <w:left w:w="108" w:type="dxa"/>
            <w:bottom w:w="0" w:type="dxa"/>
            <w:right w:w="108" w:type="dxa"/>
          </w:tblCellMar>
        </w:tblPrEx>
        <w:trPr>
          <w:trHeight w:val="288" w:hRule="atLeast"/>
        </w:trPr>
        <w:tc>
          <w:tcPr>
            <w:tcW w:w="0" w:type="auto"/>
            <w:tcBorders>
              <w:top w:val="nil"/>
              <w:left w:val="nil"/>
              <w:bottom w:val="nil"/>
              <w:right w:val="nil"/>
            </w:tcBorders>
            <w:noWrap/>
            <w:vAlign w:val="center"/>
          </w:tcPr>
          <w:p w14:paraId="0F74AA80">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对照组</w:t>
            </w:r>
          </w:p>
        </w:tc>
        <w:tc>
          <w:tcPr>
            <w:tcW w:w="0" w:type="auto"/>
            <w:tcBorders>
              <w:top w:val="nil"/>
              <w:left w:val="nil"/>
              <w:bottom w:val="nil"/>
              <w:right w:val="nil"/>
            </w:tcBorders>
            <w:noWrap/>
            <w:vAlign w:val="center"/>
          </w:tcPr>
          <w:p w14:paraId="09BDA09C">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镜像组</w:t>
            </w:r>
          </w:p>
        </w:tc>
        <w:tc>
          <w:tcPr>
            <w:tcW w:w="1740" w:type="dxa"/>
            <w:tcBorders>
              <w:top w:val="nil"/>
              <w:left w:val="nil"/>
              <w:bottom w:val="nil"/>
              <w:right w:val="nil"/>
            </w:tcBorders>
            <w:noWrap/>
            <w:vAlign w:val="center"/>
          </w:tcPr>
          <w:p w14:paraId="4AC72550">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-0.831</w:t>
            </w:r>
          </w:p>
        </w:tc>
        <w:tc>
          <w:tcPr>
            <w:tcW w:w="960" w:type="dxa"/>
            <w:tcBorders>
              <w:top w:val="nil"/>
              <w:left w:val="nil"/>
              <w:bottom w:val="nil"/>
              <w:right w:val="nil"/>
            </w:tcBorders>
            <w:noWrap/>
            <w:vAlign w:val="center"/>
          </w:tcPr>
          <w:p w14:paraId="54EF4115">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0.409</w:t>
            </w:r>
          </w:p>
        </w:tc>
        <w:tc>
          <w:tcPr>
            <w:tcW w:w="960" w:type="dxa"/>
            <w:tcBorders>
              <w:top w:val="nil"/>
              <w:left w:val="nil"/>
              <w:bottom w:val="nil"/>
              <w:right w:val="nil"/>
            </w:tcBorders>
            <w:noWrap/>
            <w:vAlign w:val="center"/>
          </w:tcPr>
          <w:p w14:paraId="79A0A65B">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-1.075</w:t>
            </w:r>
          </w:p>
        </w:tc>
        <w:tc>
          <w:tcPr>
            <w:tcW w:w="960" w:type="dxa"/>
            <w:tcBorders>
              <w:top w:val="nil"/>
              <w:left w:val="nil"/>
              <w:bottom w:val="nil"/>
              <w:right w:val="nil"/>
            </w:tcBorders>
            <w:noWrap/>
            <w:vAlign w:val="center"/>
          </w:tcPr>
          <w:p w14:paraId="231AE832">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0.883</w:t>
            </w:r>
          </w:p>
        </w:tc>
        <w:tc>
          <w:tcPr>
            <w:tcW w:w="960" w:type="dxa"/>
            <w:tcBorders>
              <w:top w:val="nil"/>
              <w:left w:val="nil"/>
              <w:bottom w:val="nil"/>
              <w:right w:val="nil"/>
            </w:tcBorders>
            <w:noWrap/>
            <w:vAlign w:val="center"/>
          </w:tcPr>
          <w:p w14:paraId="5A4A98CF">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-1.939</w:t>
            </w:r>
          </w:p>
        </w:tc>
        <w:tc>
          <w:tcPr>
            <w:tcW w:w="0" w:type="auto"/>
            <w:tcBorders>
              <w:top w:val="nil"/>
              <w:left w:val="nil"/>
              <w:bottom w:val="nil"/>
              <w:right w:val="nil"/>
            </w:tcBorders>
            <w:noWrap/>
            <w:vAlign w:val="center"/>
          </w:tcPr>
          <w:p w14:paraId="7AD52472">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0.791</w:t>
            </w:r>
          </w:p>
        </w:tc>
      </w:tr>
      <w:tr w14:paraId="2082AC35">
        <w:tblPrEx>
          <w:tblCellMar>
            <w:top w:w="0" w:type="dxa"/>
            <w:left w:w="108" w:type="dxa"/>
            <w:bottom w:w="0" w:type="dxa"/>
            <w:right w:w="108" w:type="dxa"/>
          </w:tblCellMar>
        </w:tblPrEx>
        <w:trPr>
          <w:trHeight w:val="288" w:hRule="atLeast"/>
        </w:trPr>
        <w:tc>
          <w:tcPr>
            <w:tcW w:w="0" w:type="auto"/>
            <w:tcBorders>
              <w:top w:val="nil"/>
              <w:left w:val="nil"/>
              <w:bottom w:val="nil"/>
              <w:right w:val="nil"/>
            </w:tcBorders>
            <w:noWrap/>
            <w:vAlign w:val="center"/>
          </w:tcPr>
          <w:p w14:paraId="16D8103B">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对照组</w:t>
            </w:r>
          </w:p>
        </w:tc>
        <w:tc>
          <w:tcPr>
            <w:tcW w:w="0" w:type="auto"/>
            <w:tcBorders>
              <w:top w:val="nil"/>
              <w:left w:val="nil"/>
              <w:bottom w:val="nil"/>
              <w:right w:val="nil"/>
            </w:tcBorders>
            <w:noWrap/>
            <w:vAlign w:val="center"/>
          </w:tcPr>
          <w:p w14:paraId="79F372F5">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联合组</w:t>
            </w:r>
          </w:p>
        </w:tc>
        <w:tc>
          <w:tcPr>
            <w:tcW w:w="1740" w:type="dxa"/>
            <w:tcBorders>
              <w:top w:val="nil"/>
              <w:left w:val="nil"/>
              <w:bottom w:val="nil"/>
              <w:right w:val="nil"/>
            </w:tcBorders>
            <w:noWrap/>
            <w:vAlign w:val="center"/>
          </w:tcPr>
          <w:p w14:paraId="0B8E24CE">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-2.655</w:t>
            </w:r>
          </w:p>
        </w:tc>
        <w:tc>
          <w:tcPr>
            <w:tcW w:w="960" w:type="dxa"/>
            <w:tcBorders>
              <w:top w:val="nil"/>
              <w:left w:val="nil"/>
              <w:bottom w:val="nil"/>
              <w:right w:val="nil"/>
            </w:tcBorders>
            <w:noWrap/>
            <w:vAlign w:val="center"/>
          </w:tcPr>
          <w:p w14:paraId="6726B9CA">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0.010</w:t>
            </w:r>
          </w:p>
        </w:tc>
        <w:tc>
          <w:tcPr>
            <w:tcW w:w="960" w:type="dxa"/>
            <w:tcBorders>
              <w:top w:val="nil"/>
              <w:left w:val="nil"/>
              <w:bottom w:val="nil"/>
              <w:right w:val="nil"/>
            </w:tcBorders>
            <w:noWrap/>
            <w:vAlign w:val="center"/>
          </w:tcPr>
          <w:p w14:paraId="53B27B1C">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-18.900</w:t>
            </w:r>
          </w:p>
        </w:tc>
        <w:tc>
          <w:tcPr>
            <w:tcW w:w="960" w:type="dxa"/>
            <w:tcBorders>
              <w:top w:val="nil"/>
              <w:left w:val="nil"/>
              <w:bottom w:val="nil"/>
              <w:right w:val="nil"/>
            </w:tcBorders>
            <w:noWrap/>
            <w:vAlign w:val="center"/>
          </w:tcPr>
          <w:p w14:paraId="0129BD43">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0.010</w:t>
            </w:r>
          </w:p>
        </w:tc>
        <w:tc>
          <w:tcPr>
            <w:tcW w:w="960" w:type="dxa"/>
            <w:tcBorders>
              <w:top w:val="nil"/>
              <w:left w:val="nil"/>
              <w:bottom w:val="nil"/>
              <w:right w:val="nil"/>
            </w:tcBorders>
            <w:noWrap/>
            <w:vAlign w:val="center"/>
          </w:tcPr>
          <w:p w14:paraId="394E6FE2">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-16.961</w:t>
            </w:r>
          </w:p>
        </w:tc>
        <w:tc>
          <w:tcPr>
            <w:tcW w:w="0" w:type="auto"/>
            <w:tcBorders>
              <w:top w:val="nil"/>
              <w:left w:val="nil"/>
              <w:bottom w:val="nil"/>
              <w:right w:val="nil"/>
            </w:tcBorders>
            <w:noWrap/>
            <w:vAlign w:val="center"/>
          </w:tcPr>
          <w:p w14:paraId="112701F4">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0.020</w:t>
            </w:r>
          </w:p>
        </w:tc>
      </w:tr>
      <w:tr w14:paraId="496D06AF">
        <w:tblPrEx>
          <w:tblCellMar>
            <w:top w:w="0" w:type="dxa"/>
            <w:left w:w="108" w:type="dxa"/>
            <w:bottom w:w="0" w:type="dxa"/>
            <w:right w:w="108" w:type="dxa"/>
          </w:tblCellMar>
        </w:tblPrEx>
        <w:trPr>
          <w:trHeight w:val="288" w:hRule="atLeast"/>
        </w:trPr>
        <w:tc>
          <w:tcPr>
            <w:tcW w:w="0" w:type="auto"/>
            <w:tcBorders>
              <w:top w:val="nil"/>
              <w:left w:val="nil"/>
              <w:bottom w:val="nil"/>
              <w:right w:val="nil"/>
            </w:tcBorders>
            <w:noWrap/>
            <w:vAlign w:val="center"/>
          </w:tcPr>
          <w:p w14:paraId="50153A6E">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手套组</w:t>
            </w:r>
          </w:p>
        </w:tc>
        <w:tc>
          <w:tcPr>
            <w:tcW w:w="0" w:type="auto"/>
            <w:tcBorders>
              <w:top w:val="nil"/>
              <w:left w:val="nil"/>
              <w:bottom w:val="nil"/>
              <w:right w:val="nil"/>
            </w:tcBorders>
            <w:noWrap/>
            <w:vAlign w:val="center"/>
          </w:tcPr>
          <w:p w14:paraId="596F6B3F">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镜像组</w:t>
            </w:r>
          </w:p>
        </w:tc>
        <w:tc>
          <w:tcPr>
            <w:tcW w:w="1740" w:type="dxa"/>
            <w:tcBorders>
              <w:top w:val="nil"/>
              <w:left w:val="nil"/>
              <w:bottom w:val="nil"/>
              <w:right w:val="nil"/>
            </w:tcBorders>
            <w:noWrap/>
            <w:vAlign w:val="center"/>
          </w:tcPr>
          <w:p w14:paraId="22722F33">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-0.586</w:t>
            </w:r>
          </w:p>
        </w:tc>
        <w:tc>
          <w:tcPr>
            <w:tcW w:w="960" w:type="dxa"/>
            <w:tcBorders>
              <w:top w:val="nil"/>
              <w:left w:val="nil"/>
              <w:bottom w:val="nil"/>
              <w:right w:val="nil"/>
            </w:tcBorders>
            <w:noWrap/>
            <w:vAlign w:val="center"/>
          </w:tcPr>
          <w:p w14:paraId="11896CCE">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0.559</w:t>
            </w:r>
          </w:p>
        </w:tc>
        <w:tc>
          <w:tcPr>
            <w:tcW w:w="960" w:type="dxa"/>
            <w:tcBorders>
              <w:top w:val="nil"/>
              <w:left w:val="nil"/>
              <w:bottom w:val="nil"/>
              <w:right w:val="nil"/>
            </w:tcBorders>
            <w:noWrap/>
            <w:vAlign w:val="center"/>
          </w:tcPr>
          <w:p w14:paraId="601FD3EE">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-0.550</w:t>
            </w:r>
          </w:p>
        </w:tc>
        <w:tc>
          <w:tcPr>
            <w:tcW w:w="960" w:type="dxa"/>
            <w:tcBorders>
              <w:top w:val="nil"/>
              <w:left w:val="nil"/>
              <w:bottom w:val="nil"/>
              <w:right w:val="nil"/>
            </w:tcBorders>
            <w:noWrap/>
            <w:vAlign w:val="center"/>
          </w:tcPr>
          <w:p w14:paraId="40123B09">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0.940</w:t>
            </w:r>
          </w:p>
        </w:tc>
        <w:tc>
          <w:tcPr>
            <w:tcW w:w="960" w:type="dxa"/>
            <w:tcBorders>
              <w:top w:val="nil"/>
              <w:left w:val="nil"/>
              <w:bottom w:val="nil"/>
              <w:right w:val="nil"/>
            </w:tcBorders>
            <w:noWrap/>
            <w:vAlign w:val="center"/>
          </w:tcPr>
          <w:p w14:paraId="166F9F7D">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-0.400</w:t>
            </w:r>
          </w:p>
        </w:tc>
        <w:tc>
          <w:tcPr>
            <w:tcW w:w="0" w:type="auto"/>
            <w:tcBorders>
              <w:top w:val="nil"/>
              <w:left w:val="nil"/>
              <w:bottom w:val="nil"/>
              <w:right w:val="nil"/>
            </w:tcBorders>
            <w:noWrap/>
            <w:vAlign w:val="center"/>
          </w:tcPr>
          <w:p w14:paraId="5346425F">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0.956</w:t>
            </w:r>
          </w:p>
        </w:tc>
      </w:tr>
      <w:tr w14:paraId="1C7B4F70">
        <w:tblPrEx>
          <w:tblCellMar>
            <w:top w:w="0" w:type="dxa"/>
            <w:left w:w="108" w:type="dxa"/>
            <w:bottom w:w="0" w:type="dxa"/>
            <w:right w:w="108" w:type="dxa"/>
          </w:tblCellMar>
        </w:tblPrEx>
        <w:trPr>
          <w:trHeight w:val="288" w:hRule="atLeast"/>
        </w:trPr>
        <w:tc>
          <w:tcPr>
            <w:tcW w:w="0" w:type="auto"/>
            <w:tcBorders>
              <w:top w:val="nil"/>
              <w:left w:val="nil"/>
              <w:bottom w:val="nil"/>
              <w:right w:val="nil"/>
            </w:tcBorders>
            <w:noWrap/>
            <w:vAlign w:val="center"/>
          </w:tcPr>
          <w:p w14:paraId="76A64F0C">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手套组</w:t>
            </w:r>
          </w:p>
        </w:tc>
        <w:tc>
          <w:tcPr>
            <w:tcW w:w="0" w:type="auto"/>
            <w:tcBorders>
              <w:top w:val="nil"/>
              <w:left w:val="nil"/>
              <w:bottom w:val="nil"/>
              <w:right w:val="nil"/>
            </w:tcBorders>
            <w:noWrap/>
            <w:vAlign w:val="center"/>
          </w:tcPr>
          <w:p w14:paraId="653379A4">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联合组</w:t>
            </w:r>
          </w:p>
        </w:tc>
        <w:tc>
          <w:tcPr>
            <w:tcW w:w="1740" w:type="dxa"/>
            <w:tcBorders>
              <w:top w:val="nil"/>
              <w:left w:val="nil"/>
              <w:bottom w:val="nil"/>
              <w:right w:val="nil"/>
            </w:tcBorders>
            <w:noWrap/>
            <w:vAlign w:val="center"/>
          </w:tcPr>
          <w:p w14:paraId="02CE7335">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-2.410</w:t>
            </w:r>
          </w:p>
        </w:tc>
        <w:tc>
          <w:tcPr>
            <w:tcW w:w="960" w:type="dxa"/>
            <w:tcBorders>
              <w:top w:val="nil"/>
              <w:left w:val="nil"/>
              <w:bottom w:val="nil"/>
              <w:right w:val="nil"/>
            </w:tcBorders>
            <w:noWrap/>
            <w:vAlign w:val="center"/>
          </w:tcPr>
          <w:p w14:paraId="45265793">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0.018</w:t>
            </w:r>
          </w:p>
        </w:tc>
        <w:tc>
          <w:tcPr>
            <w:tcW w:w="960" w:type="dxa"/>
            <w:tcBorders>
              <w:top w:val="nil"/>
              <w:left w:val="nil"/>
              <w:bottom w:val="nil"/>
              <w:right w:val="nil"/>
            </w:tcBorders>
            <w:noWrap/>
            <w:vAlign w:val="center"/>
          </w:tcPr>
          <w:p w14:paraId="6AFA7965">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-19.425</w:t>
            </w:r>
          </w:p>
        </w:tc>
        <w:tc>
          <w:tcPr>
            <w:tcW w:w="960" w:type="dxa"/>
            <w:tcBorders>
              <w:top w:val="nil"/>
              <w:left w:val="nil"/>
              <w:bottom w:val="nil"/>
              <w:right w:val="nil"/>
            </w:tcBorders>
            <w:noWrap/>
            <w:vAlign w:val="center"/>
          </w:tcPr>
          <w:p w14:paraId="2610041D">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0.008</w:t>
            </w:r>
          </w:p>
        </w:tc>
        <w:tc>
          <w:tcPr>
            <w:tcW w:w="960" w:type="dxa"/>
            <w:tcBorders>
              <w:top w:val="nil"/>
              <w:left w:val="nil"/>
              <w:bottom w:val="nil"/>
              <w:right w:val="nil"/>
            </w:tcBorders>
            <w:noWrap/>
            <w:vAlign w:val="center"/>
          </w:tcPr>
          <w:p w14:paraId="4F7AA014">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-19.300</w:t>
            </w:r>
          </w:p>
        </w:tc>
        <w:tc>
          <w:tcPr>
            <w:tcW w:w="0" w:type="auto"/>
            <w:tcBorders>
              <w:top w:val="nil"/>
              <w:left w:val="nil"/>
              <w:bottom w:val="nil"/>
              <w:right w:val="nil"/>
            </w:tcBorders>
            <w:noWrap/>
            <w:vAlign w:val="center"/>
          </w:tcPr>
          <w:p w14:paraId="2E5C0D69">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0.008</w:t>
            </w:r>
          </w:p>
        </w:tc>
      </w:tr>
      <w:tr w14:paraId="62345093">
        <w:tblPrEx>
          <w:tblCellMar>
            <w:top w:w="0" w:type="dxa"/>
            <w:left w:w="108" w:type="dxa"/>
            <w:bottom w:w="0" w:type="dxa"/>
            <w:right w:w="108" w:type="dxa"/>
          </w:tblCellMar>
        </w:tblPrEx>
        <w:trPr>
          <w:trHeight w:val="303" w:hRule="atLeast"/>
        </w:trPr>
        <w:tc>
          <w:tcPr>
            <w:tcW w:w="0" w:type="auto"/>
            <w:tcBorders>
              <w:top w:val="nil"/>
              <w:left w:val="nil"/>
              <w:bottom w:val="single" w:color="000000" w:sz="8" w:space="0"/>
              <w:right w:val="nil"/>
            </w:tcBorders>
            <w:noWrap/>
            <w:vAlign w:val="center"/>
          </w:tcPr>
          <w:p w14:paraId="41A32A71">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镜像组</w:t>
            </w:r>
          </w:p>
        </w:tc>
        <w:tc>
          <w:tcPr>
            <w:tcW w:w="0" w:type="auto"/>
            <w:tcBorders>
              <w:top w:val="nil"/>
              <w:left w:val="nil"/>
              <w:bottom w:val="single" w:color="000000" w:sz="8" w:space="0"/>
              <w:right w:val="nil"/>
            </w:tcBorders>
            <w:noWrap/>
            <w:vAlign w:val="center"/>
          </w:tcPr>
          <w:p w14:paraId="2BA01814">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联合组</w:t>
            </w:r>
          </w:p>
        </w:tc>
        <w:tc>
          <w:tcPr>
            <w:tcW w:w="1740" w:type="dxa"/>
            <w:tcBorders>
              <w:top w:val="nil"/>
              <w:left w:val="nil"/>
              <w:bottom w:val="single" w:color="000000" w:sz="8" w:space="0"/>
              <w:right w:val="nil"/>
            </w:tcBorders>
            <w:noWrap/>
            <w:vAlign w:val="center"/>
          </w:tcPr>
          <w:p w14:paraId="37C887BD">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-1.824</w:t>
            </w:r>
          </w:p>
        </w:tc>
        <w:tc>
          <w:tcPr>
            <w:tcW w:w="960" w:type="dxa"/>
            <w:tcBorders>
              <w:top w:val="nil"/>
              <w:left w:val="nil"/>
              <w:bottom w:val="single" w:color="000000" w:sz="8" w:space="0"/>
              <w:right w:val="nil"/>
            </w:tcBorders>
            <w:noWrap/>
            <w:vAlign w:val="center"/>
          </w:tcPr>
          <w:p w14:paraId="230C3AA6">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0.072</w:t>
            </w:r>
          </w:p>
        </w:tc>
        <w:tc>
          <w:tcPr>
            <w:tcW w:w="960" w:type="dxa"/>
            <w:tcBorders>
              <w:top w:val="nil"/>
              <w:left w:val="nil"/>
              <w:bottom w:val="single" w:color="000000" w:sz="8" w:space="0"/>
              <w:right w:val="nil"/>
            </w:tcBorders>
            <w:noWrap/>
            <w:vAlign w:val="center"/>
          </w:tcPr>
          <w:p w14:paraId="2732B5BE">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-19.975</w:t>
            </w:r>
          </w:p>
        </w:tc>
        <w:tc>
          <w:tcPr>
            <w:tcW w:w="960" w:type="dxa"/>
            <w:tcBorders>
              <w:top w:val="nil"/>
              <w:left w:val="nil"/>
              <w:bottom w:val="single" w:color="000000" w:sz="8" w:space="0"/>
              <w:right w:val="nil"/>
            </w:tcBorders>
            <w:noWrap/>
            <w:vAlign w:val="center"/>
          </w:tcPr>
          <w:p w14:paraId="5F72FFC8">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0.006</w:t>
            </w:r>
          </w:p>
        </w:tc>
        <w:tc>
          <w:tcPr>
            <w:tcW w:w="960" w:type="dxa"/>
            <w:tcBorders>
              <w:top w:val="nil"/>
              <w:left w:val="nil"/>
              <w:bottom w:val="single" w:color="000000" w:sz="8" w:space="0"/>
              <w:right w:val="nil"/>
            </w:tcBorders>
            <w:noWrap/>
            <w:vAlign w:val="center"/>
          </w:tcPr>
          <w:p w14:paraId="59CB799D">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-18.900</w:t>
            </w:r>
          </w:p>
        </w:tc>
        <w:tc>
          <w:tcPr>
            <w:tcW w:w="960" w:type="dxa"/>
            <w:tcBorders>
              <w:top w:val="nil"/>
              <w:left w:val="nil"/>
              <w:bottom w:val="single" w:color="000000" w:sz="8" w:space="0"/>
              <w:right w:val="nil"/>
            </w:tcBorders>
            <w:noWrap/>
            <w:vAlign w:val="center"/>
          </w:tcPr>
          <w:p w14:paraId="6E0573B1">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0.009</w:t>
            </w:r>
          </w:p>
        </w:tc>
      </w:tr>
    </w:tbl>
    <w:p w14:paraId="0C03FA3C">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kern w:val="0"/>
          <w:sz w:val="24"/>
          <w:szCs w:val="24"/>
        </w:rPr>
      </w:pPr>
      <w:r>
        <w:rPr>
          <w:rFonts w:hint="eastAsia" w:ascii="宋体" w:hAnsi="宋体" w:eastAsia="宋体" w:cs="宋体"/>
          <w:kern w:val="0"/>
          <w:sz w:val="24"/>
          <w:szCs w:val="24"/>
        </w:rPr>
        <w:t>注：U-FMA近端进行T检验，U-FMA远端及ARAT进行配对Z检验。</w:t>
      </w:r>
    </w:p>
    <w:p w14:paraId="0FA399AE">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124B5F70">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 xml:space="preserve"> </w:t>
      </w:r>
    </w:p>
    <w:p w14:paraId="7098FA24">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5257800" cy="1653540"/>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57800" cy="1653540"/>
                    </a:xfrm>
                    <a:prstGeom prst="rect">
                      <a:avLst/>
                    </a:prstGeom>
                    <a:noFill/>
                    <a:ln>
                      <a:noFill/>
                    </a:ln>
                  </pic:spPr>
                </pic:pic>
              </a:graphicData>
            </a:graphic>
          </wp:inline>
        </w:drawing>
      </w:r>
      <w:r>
        <w:rPr>
          <w:rFonts w:hint="eastAsia" w:ascii="宋体" w:hAnsi="宋体" w:eastAsia="宋体" w:cs="宋体"/>
          <w:sz w:val="24"/>
          <w:szCs w:val="24"/>
        </w:rPr>
        <w:t xml:space="preserve"> </w:t>
      </w:r>
    </w:p>
    <w:p w14:paraId="37C12898">
      <w:pPr>
        <w:keepLines w:val="0"/>
        <w:pageBreakBefore w:val="0"/>
        <w:widowControl/>
        <w:kinsoku/>
        <w:wordWrap/>
        <w:overflowPunct/>
        <w:topLinePunct w:val="0"/>
        <w:autoSpaceDE w:val="0"/>
        <w:autoSpaceDN/>
        <w:bidi w:val="0"/>
        <w:spacing w:before="120" w:after="240"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图3.1 U-FMA交互效应</w:t>
      </w:r>
    </w:p>
    <w:p w14:paraId="083F3041">
      <w:pPr>
        <w:keepLines w:val="0"/>
        <w:pageBreakBefore w:val="0"/>
        <w:kinsoku/>
        <w:wordWrap/>
        <w:overflowPunct/>
        <w:topLinePunct w:val="0"/>
        <w:autoSpaceDN/>
        <w:bidi w:val="0"/>
        <w:spacing w:before="480" w:after="120" w:line="240" w:lineRule="auto"/>
        <w:ind w:left="0" w:leftChars="0"/>
        <w:jc w:val="left"/>
        <w:outlineLvl w:val="0"/>
        <w:rPr>
          <w:rFonts w:hint="eastAsia" w:ascii="宋体" w:hAnsi="宋体" w:eastAsia="宋体" w:cs="宋体"/>
          <w:bCs/>
          <w:sz w:val="24"/>
          <w:szCs w:val="24"/>
        </w:rPr>
      </w:pPr>
      <w:r>
        <w:rPr>
          <w:rFonts w:hint="eastAsia" w:ascii="宋体" w:hAnsi="宋体" w:eastAsia="宋体" w:cs="宋体"/>
          <w:bCs/>
          <w:sz w:val="24"/>
          <w:szCs w:val="24"/>
        </w:rPr>
        <w:t>3.3 ARAT评分比较</w:t>
      </w:r>
    </w:p>
    <w:p w14:paraId="7B2AE9B4">
      <w:pPr>
        <w:keepLines w:val="0"/>
        <w:pageBreakBefore w:val="0"/>
        <w:kinsoku/>
        <w:wordWrap/>
        <w:overflowPunct/>
        <w:topLinePunct w:val="0"/>
        <w:autoSpaceDN/>
        <w:bidi w:val="0"/>
        <w:spacing w:line="240" w:lineRule="auto"/>
        <w:ind w:left="0" w:leftChars="0" w:firstLine="480" w:firstLineChars="200"/>
        <w:jc w:val="left"/>
        <w:rPr>
          <w:rFonts w:hint="eastAsia" w:ascii="宋体" w:hAnsi="宋体" w:eastAsia="宋体" w:cs="宋体"/>
          <w:sz w:val="24"/>
          <w:szCs w:val="24"/>
        </w:rPr>
      </w:pPr>
      <w:r>
        <w:rPr>
          <w:rFonts w:hint="eastAsia" w:ascii="宋体" w:hAnsi="宋体" w:eastAsia="宋体" w:cs="宋体"/>
          <w:sz w:val="24"/>
          <w:szCs w:val="24"/>
        </w:rPr>
        <w:t>治疗4周后，4组ARAT评分均较治疗前显著增高（|Z|＞3.297，P&lt;0.05)。治疗前4组ARAT评分组间比较差异无统计学意义。治疗后4组ARAT评分改善组间差异明显（Z=</w:t>
      </w:r>
      <w:r>
        <w:rPr>
          <w:rFonts w:hint="eastAsia" w:ascii="宋体" w:hAnsi="宋体" w:eastAsia="宋体" w:cs="宋体"/>
          <w:kern w:val="0"/>
          <w:sz w:val="24"/>
          <w:szCs w:val="24"/>
        </w:rPr>
        <w:t>9.824，</w:t>
      </w:r>
      <w:r>
        <w:rPr>
          <w:rFonts w:hint="eastAsia" w:ascii="宋体" w:hAnsi="宋体" w:eastAsia="宋体" w:cs="宋体"/>
          <w:sz w:val="24"/>
          <w:szCs w:val="24"/>
        </w:rPr>
        <w:t>P=0.020）。见表3.5。两两比较发现，联合组的ARAT评分改善显著优于镜像组、对照组、手套组（|Z|＞16.961，P&lt;0.05），而镜像组与对照组、手套组之间以及镜像组与手套组之间差异无统计学意义，详见表3.4。进行析因分析发现，镜像素和手套组在治疗前后改善ARAT评分存在交互效用（F=4.912，P=0.03），交互作用图见图3.2。</w:t>
      </w:r>
    </w:p>
    <w:p w14:paraId="38549228">
      <w:pPr>
        <w:pStyle w:val="27"/>
        <w:keepLines w:val="0"/>
        <w:pageBreakBefore w:val="0"/>
        <w:kinsoku/>
        <w:wordWrap/>
        <w:overflowPunct/>
        <w:topLinePunct w:val="0"/>
        <w:autoSpaceDE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表3.5 治疗前后 ARAT评分比较</w:t>
      </w:r>
    </w:p>
    <w:tbl>
      <w:tblPr>
        <w:tblStyle w:val="11"/>
        <w:tblW w:w="8905" w:type="dxa"/>
        <w:tblInd w:w="96" w:type="dxa"/>
        <w:tblLayout w:type="autofit"/>
        <w:tblCellMar>
          <w:top w:w="0" w:type="dxa"/>
          <w:left w:w="108" w:type="dxa"/>
          <w:bottom w:w="0" w:type="dxa"/>
          <w:right w:w="108" w:type="dxa"/>
        </w:tblCellMar>
      </w:tblPr>
      <w:tblGrid>
        <w:gridCol w:w="1044"/>
        <w:gridCol w:w="2604"/>
        <w:gridCol w:w="2616"/>
        <w:gridCol w:w="972"/>
        <w:gridCol w:w="1861"/>
      </w:tblGrid>
      <w:tr w14:paraId="6ADBAE5B">
        <w:tblPrEx>
          <w:tblCellMar>
            <w:top w:w="0" w:type="dxa"/>
            <w:left w:w="108" w:type="dxa"/>
            <w:bottom w:w="0" w:type="dxa"/>
            <w:right w:w="108" w:type="dxa"/>
          </w:tblCellMar>
        </w:tblPrEx>
        <w:trPr>
          <w:trHeight w:val="291" w:hRule="atLeast"/>
        </w:trPr>
        <w:tc>
          <w:tcPr>
            <w:tcW w:w="1044" w:type="dxa"/>
            <w:tcBorders>
              <w:top w:val="single" w:color="000000" w:sz="8" w:space="0"/>
              <w:left w:val="nil"/>
              <w:bottom w:val="single" w:color="000000" w:sz="8" w:space="0"/>
              <w:right w:val="nil"/>
            </w:tcBorders>
            <w:noWrap/>
            <w:vAlign w:val="center"/>
          </w:tcPr>
          <w:p w14:paraId="1F77D470">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分组</w:t>
            </w:r>
          </w:p>
        </w:tc>
        <w:tc>
          <w:tcPr>
            <w:tcW w:w="2604" w:type="dxa"/>
            <w:tcBorders>
              <w:top w:val="single" w:color="000000" w:sz="8" w:space="0"/>
              <w:left w:val="nil"/>
              <w:bottom w:val="single" w:color="000000" w:sz="8" w:space="0"/>
              <w:right w:val="nil"/>
            </w:tcBorders>
            <w:noWrap/>
            <w:vAlign w:val="center"/>
          </w:tcPr>
          <w:p w14:paraId="531D803D">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治疗前</w:t>
            </w:r>
          </w:p>
        </w:tc>
        <w:tc>
          <w:tcPr>
            <w:tcW w:w="2424" w:type="dxa"/>
            <w:tcBorders>
              <w:top w:val="single" w:color="000000" w:sz="8" w:space="0"/>
              <w:left w:val="nil"/>
              <w:bottom w:val="single" w:color="000000" w:sz="8" w:space="0"/>
              <w:right w:val="nil"/>
            </w:tcBorders>
            <w:noWrap/>
            <w:vAlign w:val="center"/>
          </w:tcPr>
          <w:p w14:paraId="2DCD7CCD">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治疗后</w:t>
            </w:r>
          </w:p>
        </w:tc>
        <w:tc>
          <w:tcPr>
            <w:tcW w:w="972" w:type="dxa"/>
            <w:tcBorders>
              <w:top w:val="single" w:color="000000" w:sz="8" w:space="0"/>
              <w:left w:val="nil"/>
              <w:bottom w:val="single" w:color="000000" w:sz="8" w:space="0"/>
              <w:right w:val="nil"/>
            </w:tcBorders>
            <w:noWrap/>
            <w:vAlign w:val="center"/>
          </w:tcPr>
          <w:p w14:paraId="3F3999BE">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z</w:t>
            </w:r>
          </w:p>
        </w:tc>
        <w:tc>
          <w:tcPr>
            <w:tcW w:w="1861" w:type="dxa"/>
            <w:tcBorders>
              <w:top w:val="single" w:color="000000" w:sz="8" w:space="0"/>
              <w:left w:val="nil"/>
              <w:bottom w:val="single" w:color="000000" w:sz="8" w:space="0"/>
              <w:right w:val="nil"/>
            </w:tcBorders>
            <w:noWrap/>
            <w:vAlign w:val="center"/>
          </w:tcPr>
          <w:p w14:paraId="1FCBDCA0">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P</w:t>
            </w:r>
          </w:p>
        </w:tc>
      </w:tr>
      <w:tr w14:paraId="4128EA70">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noWrap/>
            <w:vAlign w:val="center"/>
          </w:tcPr>
          <w:p w14:paraId="08BCB6CC">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对照组</w:t>
            </w:r>
          </w:p>
        </w:tc>
        <w:tc>
          <w:tcPr>
            <w:tcW w:w="2604" w:type="dxa"/>
            <w:tcBorders>
              <w:top w:val="nil"/>
              <w:left w:val="nil"/>
              <w:bottom w:val="nil"/>
              <w:right w:val="nil"/>
            </w:tcBorders>
            <w:noWrap/>
            <w:vAlign w:val="center"/>
          </w:tcPr>
          <w:p w14:paraId="4ABD6C94">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0.00(0.00,6.00)</w:t>
            </w:r>
          </w:p>
        </w:tc>
        <w:tc>
          <w:tcPr>
            <w:tcW w:w="2424" w:type="dxa"/>
            <w:tcBorders>
              <w:top w:val="nil"/>
              <w:left w:val="nil"/>
              <w:bottom w:val="nil"/>
              <w:right w:val="nil"/>
            </w:tcBorders>
            <w:noWrap/>
            <w:vAlign w:val="center"/>
          </w:tcPr>
          <w:p w14:paraId="5FFB33A5">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10.00(2.00,15.00)</w:t>
            </w:r>
            <w:r>
              <w:rPr>
                <w:rFonts w:hint="eastAsia" w:ascii="宋体" w:hAnsi="宋体" w:eastAsia="宋体" w:cs="宋体"/>
                <w:kern w:val="0"/>
                <w:sz w:val="24"/>
                <w:szCs w:val="24"/>
                <w:vertAlign w:val="superscript"/>
              </w:rPr>
              <w:t>a</w:t>
            </w:r>
          </w:p>
        </w:tc>
        <w:tc>
          <w:tcPr>
            <w:tcW w:w="972" w:type="dxa"/>
            <w:tcBorders>
              <w:top w:val="nil"/>
              <w:left w:val="nil"/>
              <w:bottom w:val="nil"/>
              <w:right w:val="nil"/>
            </w:tcBorders>
            <w:noWrap/>
            <w:vAlign w:val="center"/>
          </w:tcPr>
          <w:p w14:paraId="42F91E87">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-3.304</w:t>
            </w:r>
          </w:p>
        </w:tc>
        <w:tc>
          <w:tcPr>
            <w:tcW w:w="1861" w:type="dxa"/>
            <w:tcBorders>
              <w:top w:val="nil"/>
              <w:left w:val="nil"/>
              <w:bottom w:val="nil"/>
              <w:right w:val="nil"/>
            </w:tcBorders>
            <w:noWrap/>
            <w:vAlign w:val="center"/>
          </w:tcPr>
          <w:p w14:paraId="6A14F5DC">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0.001</w:t>
            </w:r>
          </w:p>
        </w:tc>
      </w:tr>
      <w:tr w14:paraId="04FD1E0C">
        <w:tblPrEx>
          <w:tblCellMar>
            <w:top w:w="0" w:type="dxa"/>
            <w:left w:w="108" w:type="dxa"/>
            <w:bottom w:w="0" w:type="dxa"/>
            <w:right w:w="108" w:type="dxa"/>
          </w:tblCellMar>
        </w:tblPrEx>
        <w:trPr>
          <w:trHeight w:val="324" w:hRule="atLeast"/>
        </w:trPr>
        <w:tc>
          <w:tcPr>
            <w:tcW w:w="1044" w:type="dxa"/>
            <w:tcBorders>
              <w:top w:val="nil"/>
              <w:left w:val="nil"/>
              <w:bottom w:val="nil"/>
              <w:right w:val="nil"/>
            </w:tcBorders>
            <w:noWrap/>
            <w:vAlign w:val="center"/>
          </w:tcPr>
          <w:p w14:paraId="59B6ABA5">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手套组</w:t>
            </w:r>
          </w:p>
        </w:tc>
        <w:tc>
          <w:tcPr>
            <w:tcW w:w="2604" w:type="dxa"/>
            <w:tcBorders>
              <w:top w:val="nil"/>
              <w:left w:val="nil"/>
              <w:bottom w:val="nil"/>
              <w:right w:val="nil"/>
            </w:tcBorders>
            <w:noWrap/>
            <w:vAlign w:val="center"/>
          </w:tcPr>
          <w:p w14:paraId="4FE3B46E">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0.00(0.00,8.00)</w:t>
            </w:r>
          </w:p>
        </w:tc>
        <w:tc>
          <w:tcPr>
            <w:tcW w:w="2424" w:type="dxa"/>
            <w:tcBorders>
              <w:top w:val="nil"/>
              <w:left w:val="nil"/>
              <w:bottom w:val="nil"/>
              <w:right w:val="nil"/>
            </w:tcBorders>
            <w:noWrap/>
            <w:vAlign w:val="center"/>
          </w:tcPr>
          <w:p w14:paraId="6D8DB17B">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5.50(0.00,23.75)</w:t>
            </w:r>
            <w:r>
              <w:rPr>
                <w:rFonts w:hint="eastAsia" w:ascii="宋体" w:hAnsi="宋体" w:eastAsia="宋体" w:cs="宋体"/>
                <w:kern w:val="0"/>
                <w:sz w:val="24"/>
                <w:szCs w:val="24"/>
                <w:vertAlign w:val="superscript"/>
              </w:rPr>
              <w:t>a</w:t>
            </w:r>
          </w:p>
        </w:tc>
        <w:tc>
          <w:tcPr>
            <w:tcW w:w="972" w:type="dxa"/>
            <w:tcBorders>
              <w:top w:val="nil"/>
              <w:left w:val="nil"/>
              <w:bottom w:val="nil"/>
              <w:right w:val="nil"/>
            </w:tcBorders>
            <w:noWrap/>
            <w:vAlign w:val="center"/>
          </w:tcPr>
          <w:p w14:paraId="6FDEAD7F">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-3.297</w:t>
            </w:r>
          </w:p>
        </w:tc>
        <w:tc>
          <w:tcPr>
            <w:tcW w:w="1861" w:type="dxa"/>
            <w:tcBorders>
              <w:top w:val="nil"/>
              <w:left w:val="nil"/>
              <w:bottom w:val="nil"/>
              <w:right w:val="nil"/>
            </w:tcBorders>
            <w:noWrap/>
            <w:vAlign w:val="center"/>
          </w:tcPr>
          <w:p w14:paraId="4CB2DE0B">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0.001</w:t>
            </w:r>
          </w:p>
        </w:tc>
      </w:tr>
      <w:tr w14:paraId="0A55DA49">
        <w:tblPrEx>
          <w:tblCellMar>
            <w:top w:w="0" w:type="dxa"/>
            <w:left w:w="108" w:type="dxa"/>
            <w:bottom w:w="0" w:type="dxa"/>
            <w:right w:w="108" w:type="dxa"/>
          </w:tblCellMar>
        </w:tblPrEx>
        <w:trPr>
          <w:trHeight w:val="324" w:hRule="atLeast"/>
        </w:trPr>
        <w:tc>
          <w:tcPr>
            <w:tcW w:w="1044" w:type="dxa"/>
            <w:tcBorders>
              <w:top w:val="nil"/>
              <w:left w:val="nil"/>
              <w:bottom w:val="nil"/>
              <w:right w:val="nil"/>
            </w:tcBorders>
            <w:noWrap/>
            <w:vAlign w:val="center"/>
          </w:tcPr>
          <w:p w14:paraId="7D7661DC">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镜像组</w:t>
            </w:r>
          </w:p>
        </w:tc>
        <w:tc>
          <w:tcPr>
            <w:tcW w:w="2604" w:type="dxa"/>
            <w:tcBorders>
              <w:top w:val="nil"/>
              <w:left w:val="nil"/>
              <w:bottom w:val="nil"/>
              <w:right w:val="nil"/>
            </w:tcBorders>
            <w:noWrap/>
            <w:vAlign w:val="center"/>
          </w:tcPr>
          <w:p w14:paraId="41953B45">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0.00(0.00,5.50)</w:t>
            </w:r>
          </w:p>
        </w:tc>
        <w:tc>
          <w:tcPr>
            <w:tcW w:w="2424" w:type="dxa"/>
            <w:tcBorders>
              <w:top w:val="nil"/>
              <w:left w:val="nil"/>
              <w:bottom w:val="nil"/>
              <w:right w:val="nil"/>
            </w:tcBorders>
            <w:noWrap/>
            <w:vAlign w:val="center"/>
          </w:tcPr>
          <w:p w14:paraId="150F93C5">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2.50(0.25,22.00)</w:t>
            </w:r>
            <w:r>
              <w:rPr>
                <w:rFonts w:hint="eastAsia" w:ascii="宋体" w:hAnsi="宋体" w:eastAsia="宋体" w:cs="宋体"/>
                <w:kern w:val="0"/>
                <w:sz w:val="24"/>
                <w:szCs w:val="24"/>
                <w:vertAlign w:val="superscript"/>
              </w:rPr>
              <w:t>a</w:t>
            </w:r>
          </w:p>
        </w:tc>
        <w:tc>
          <w:tcPr>
            <w:tcW w:w="972" w:type="dxa"/>
            <w:tcBorders>
              <w:top w:val="nil"/>
              <w:left w:val="nil"/>
              <w:bottom w:val="nil"/>
              <w:right w:val="nil"/>
            </w:tcBorders>
            <w:noWrap/>
            <w:vAlign w:val="center"/>
          </w:tcPr>
          <w:p w14:paraId="11A4ADE8">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-3.419</w:t>
            </w:r>
          </w:p>
        </w:tc>
        <w:tc>
          <w:tcPr>
            <w:tcW w:w="1861" w:type="dxa"/>
            <w:tcBorders>
              <w:top w:val="nil"/>
              <w:left w:val="nil"/>
              <w:bottom w:val="nil"/>
              <w:right w:val="nil"/>
            </w:tcBorders>
            <w:noWrap/>
            <w:vAlign w:val="center"/>
          </w:tcPr>
          <w:p w14:paraId="75B05FBD">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 xml:space="preserve">0.001 </w:t>
            </w:r>
          </w:p>
        </w:tc>
      </w:tr>
      <w:tr w14:paraId="125E49C2">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noWrap/>
            <w:vAlign w:val="center"/>
          </w:tcPr>
          <w:p w14:paraId="1AA3E97B">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联合组</w:t>
            </w:r>
          </w:p>
        </w:tc>
        <w:tc>
          <w:tcPr>
            <w:tcW w:w="2604" w:type="dxa"/>
            <w:tcBorders>
              <w:top w:val="nil"/>
              <w:left w:val="nil"/>
              <w:bottom w:val="nil"/>
              <w:right w:val="nil"/>
            </w:tcBorders>
            <w:noWrap/>
            <w:vAlign w:val="center"/>
          </w:tcPr>
          <w:p w14:paraId="1D40C7B0">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6.00(1.00,13.75)</w:t>
            </w:r>
          </w:p>
        </w:tc>
        <w:tc>
          <w:tcPr>
            <w:tcW w:w="2424" w:type="dxa"/>
            <w:tcBorders>
              <w:top w:val="nil"/>
              <w:left w:val="nil"/>
              <w:bottom w:val="nil"/>
              <w:right w:val="nil"/>
            </w:tcBorders>
            <w:noWrap/>
            <w:vAlign w:val="center"/>
          </w:tcPr>
          <w:p w14:paraId="593960A9">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27.00(13.50,42.00)</w:t>
            </w:r>
            <w:r>
              <w:rPr>
                <w:rFonts w:hint="eastAsia" w:ascii="宋体" w:hAnsi="宋体" w:eastAsia="宋体" w:cs="宋体"/>
                <w:kern w:val="0"/>
                <w:sz w:val="24"/>
                <w:szCs w:val="24"/>
                <w:vertAlign w:val="superscript"/>
              </w:rPr>
              <w:t>abcd</w:t>
            </w:r>
          </w:p>
        </w:tc>
        <w:tc>
          <w:tcPr>
            <w:tcW w:w="972" w:type="dxa"/>
            <w:tcBorders>
              <w:top w:val="nil"/>
              <w:left w:val="nil"/>
              <w:bottom w:val="nil"/>
              <w:right w:val="nil"/>
            </w:tcBorders>
            <w:noWrap/>
            <w:vAlign w:val="center"/>
          </w:tcPr>
          <w:p w14:paraId="093E164E">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-3.725</w:t>
            </w:r>
          </w:p>
        </w:tc>
        <w:tc>
          <w:tcPr>
            <w:tcW w:w="1861" w:type="dxa"/>
            <w:tcBorders>
              <w:top w:val="nil"/>
              <w:left w:val="nil"/>
              <w:bottom w:val="nil"/>
              <w:right w:val="nil"/>
            </w:tcBorders>
            <w:noWrap/>
            <w:vAlign w:val="center"/>
          </w:tcPr>
          <w:p w14:paraId="2DEA58D2">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 xml:space="preserve">0.000 </w:t>
            </w:r>
          </w:p>
        </w:tc>
      </w:tr>
      <w:tr w14:paraId="7B06146F">
        <w:tblPrEx>
          <w:tblCellMar>
            <w:top w:w="0" w:type="dxa"/>
            <w:left w:w="108" w:type="dxa"/>
            <w:bottom w:w="0" w:type="dxa"/>
            <w:right w:w="108" w:type="dxa"/>
          </w:tblCellMar>
        </w:tblPrEx>
        <w:trPr>
          <w:trHeight w:val="300" w:hRule="atLeast"/>
        </w:trPr>
        <w:tc>
          <w:tcPr>
            <w:tcW w:w="1044" w:type="dxa"/>
            <w:tcBorders>
              <w:top w:val="nil"/>
              <w:left w:val="nil"/>
              <w:bottom w:val="nil"/>
              <w:right w:val="nil"/>
            </w:tcBorders>
            <w:noWrap/>
            <w:vAlign w:val="center"/>
          </w:tcPr>
          <w:p w14:paraId="4640464F">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统计量</w:t>
            </w:r>
          </w:p>
        </w:tc>
        <w:tc>
          <w:tcPr>
            <w:tcW w:w="2604" w:type="dxa"/>
            <w:tcBorders>
              <w:top w:val="nil"/>
              <w:left w:val="nil"/>
              <w:bottom w:val="nil"/>
              <w:right w:val="nil"/>
            </w:tcBorders>
            <w:noWrap/>
            <w:vAlign w:val="center"/>
          </w:tcPr>
          <w:p w14:paraId="2AD60C55">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7.165</w:t>
            </w:r>
          </w:p>
        </w:tc>
        <w:tc>
          <w:tcPr>
            <w:tcW w:w="2424" w:type="dxa"/>
            <w:tcBorders>
              <w:top w:val="nil"/>
              <w:left w:val="nil"/>
              <w:bottom w:val="nil"/>
              <w:right w:val="nil"/>
            </w:tcBorders>
            <w:noWrap/>
            <w:vAlign w:val="center"/>
          </w:tcPr>
          <w:p w14:paraId="70A3E53A">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9.824</w:t>
            </w:r>
          </w:p>
        </w:tc>
        <w:tc>
          <w:tcPr>
            <w:tcW w:w="972" w:type="dxa"/>
            <w:tcBorders>
              <w:top w:val="nil"/>
              <w:left w:val="nil"/>
              <w:bottom w:val="nil"/>
              <w:right w:val="nil"/>
            </w:tcBorders>
            <w:noWrap/>
            <w:vAlign w:val="center"/>
          </w:tcPr>
          <w:p w14:paraId="5A9DE5CB">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p>
        </w:tc>
        <w:tc>
          <w:tcPr>
            <w:tcW w:w="1861" w:type="dxa"/>
            <w:tcBorders>
              <w:top w:val="nil"/>
              <w:left w:val="nil"/>
              <w:bottom w:val="nil"/>
              <w:right w:val="nil"/>
            </w:tcBorders>
            <w:noWrap/>
            <w:vAlign w:val="center"/>
          </w:tcPr>
          <w:p w14:paraId="7685832C">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p>
        </w:tc>
      </w:tr>
      <w:tr w14:paraId="6D34E9D8">
        <w:tblPrEx>
          <w:tblCellMar>
            <w:top w:w="0" w:type="dxa"/>
            <w:left w:w="108" w:type="dxa"/>
            <w:bottom w:w="0" w:type="dxa"/>
            <w:right w:w="108" w:type="dxa"/>
          </w:tblCellMar>
        </w:tblPrEx>
        <w:trPr>
          <w:trHeight w:val="303" w:hRule="atLeast"/>
        </w:trPr>
        <w:tc>
          <w:tcPr>
            <w:tcW w:w="1044" w:type="dxa"/>
            <w:tcBorders>
              <w:top w:val="nil"/>
              <w:left w:val="nil"/>
              <w:bottom w:val="single" w:color="000000" w:sz="8" w:space="0"/>
              <w:right w:val="nil"/>
            </w:tcBorders>
            <w:noWrap/>
            <w:vAlign w:val="center"/>
          </w:tcPr>
          <w:p w14:paraId="334AE46E">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P值</w:t>
            </w:r>
          </w:p>
        </w:tc>
        <w:tc>
          <w:tcPr>
            <w:tcW w:w="2604" w:type="dxa"/>
            <w:tcBorders>
              <w:top w:val="nil"/>
              <w:left w:val="nil"/>
              <w:bottom w:val="single" w:color="000000" w:sz="8" w:space="0"/>
              <w:right w:val="nil"/>
            </w:tcBorders>
            <w:noWrap/>
            <w:vAlign w:val="center"/>
          </w:tcPr>
          <w:p w14:paraId="5B2A1E69">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0.067</w:t>
            </w:r>
          </w:p>
        </w:tc>
        <w:tc>
          <w:tcPr>
            <w:tcW w:w="2424" w:type="dxa"/>
            <w:tcBorders>
              <w:top w:val="nil"/>
              <w:left w:val="nil"/>
              <w:bottom w:val="single" w:color="000000" w:sz="8" w:space="0"/>
              <w:right w:val="nil"/>
            </w:tcBorders>
            <w:noWrap/>
            <w:vAlign w:val="center"/>
          </w:tcPr>
          <w:p w14:paraId="79DD82CC">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r>
              <w:rPr>
                <w:rFonts w:hint="eastAsia" w:ascii="宋体" w:hAnsi="宋体" w:eastAsia="宋体" w:cs="宋体"/>
                <w:kern w:val="0"/>
                <w:sz w:val="24"/>
                <w:szCs w:val="24"/>
              </w:rPr>
              <w:t>0.020</w:t>
            </w:r>
          </w:p>
        </w:tc>
        <w:tc>
          <w:tcPr>
            <w:tcW w:w="972" w:type="dxa"/>
            <w:tcBorders>
              <w:top w:val="nil"/>
              <w:left w:val="nil"/>
              <w:bottom w:val="single" w:color="000000" w:sz="8" w:space="0"/>
              <w:right w:val="nil"/>
            </w:tcBorders>
            <w:noWrap/>
            <w:vAlign w:val="center"/>
          </w:tcPr>
          <w:p w14:paraId="41EFD873">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p>
        </w:tc>
        <w:tc>
          <w:tcPr>
            <w:tcW w:w="1861" w:type="dxa"/>
            <w:tcBorders>
              <w:top w:val="nil"/>
              <w:left w:val="nil"/>
              <w:bottom w:val="single" w:color="000000" w:sz="8" w:space="0"/>
              <w:right w:val="nil"/>
            </w:tcBorders>
            <w:noWrap/>
            <w:vAlign w:val="center"/>
          </w:tcPr>
          <w:p w14:paraId="294F95DC">
            <w:pPr>
              <w:keepLines w:val="0"/>
              <w:pageBreakBefore w:val="0"/>
              <w:widowControl/>
              <w:kinsoku/>
              <w:wordWrap/>
              <w:overflowPunct/>
              <w:topLinePunct w:val="0"/>
              <w:autoSpaceDN/>
              <w:bidi w:val="0"/>
              <w:spacing w:line="240" w:lineRule="auto"/>
              <w:ind w:left="0" w:leftChars="0"/>
              <w:jc w:val="left"/>
              <w:textAlignment w:val="center"/>
              <w:rPr>
                <w:rFonts w:hint="eastAsia" w:ascii="宋体" w:hAnsi="宋体" w:eastAsia="宋体" w:cs="宋体"/>
                <w:kern w:val="0"/>
                <w:sz w:val="24"/>
                <w:szCs w:val="24"/>
              </w:rPr>
            </w:pPr>
          </w:p>
        </w:tc>
      </w:tr>
    </w:tbl>
    <w:p w14:paraId="21FBE3E7">
      <w:pPr>
        <w:keepLines w:val="0"/>
        <w:pageBreakBefore w:val="0"/>
        <w:widowControl/>
        <w:kinsoku/>
        <w:wordWrap/>
        <w:overflowPunct/>
        <w:topLinePunct w:val="0"/>
        <w:autoSpaceDN/>
        <w:bidi w:val="0"/>
        <w:spacing w:line="240" w:lineRule="auto"/>
        <w:ind w:left="0" w:leftChars="0"/>
        <w:jc w:val="left"/>
        <w:rPr>
          <w:rFonts w:hint="eastAsia" w:ascii="宋体" w:hAnsi="宋体" w:eastAsia="宋体" w:cs="宋体"/>
          <w:kern w:val="0"/>
          <w:sz w:val="24"/>
          <w:szCs w:val="24"/>
        </w:rPr>
      </w:pPr>
      <w:r>
        <w:rPr>
          <w:rFonts w:hint="eastAsia" w:ascii="宋体" w:hAnsi="宋体" w:eastAsia="宋体" w:cs="宋体"/>
          <w:kern w:val="0"/>
          <w:sz w:val="24"/>
          <w:szCs w:val="24"/>
        </w:rPr>
        <w:t>注：</w:t>
      </w:r>
      <w:r>
        <w:rPr>
          <w:rFonts w:hint="eastAsia" w:ascii="宋体" w:hAnsi="宋体" w:eastAsia="宋体" w:cs="宋体"/>
          <w:kern w:val="0"/>
          <w:sz w:val="24"/>
          <w:szCs w:val="24"/>
          <w:vertAlign w:val="superscript"/>
        </w:rPr>
        <w:t>a</w:t>
      </w:r>
      <w:r>
        <w:rPr>
          <w:rFonts w:hint="eastAsia" w:ascii="宋体" w:hAnsi="宋体" w:eastAsia="宋体" w:cs="宋体"/>
          <w:kern w:val="0"/>
          <w:sz w:val="24"/>
          <w:szCs w:val="24"/>
        </w:rPr>
        <w:t>P与治疗前比较P＜0.05，</w:t>
      </w:r>
      <w:r>
        <w:rPr>
          <w:rFonts w:hint="eastAsia" w:ascii="宋体" w:hAnsi="宋体" w:eastAsia="宋体" w:cs="宋体"/>
          <w:kern w:val="0"/>
          <w:sz w:val="24"/>
          <w:szCs w:val="24"/>
          <w:vertAlign w:val="superscript"/>
        </w:rPr>
        <w:t>b</w:t>
      </w:r>
      <w:r>
        <w:rPr>
          <w:rFonts w:hint="eastAsia" w:ascii="宋体" w:hAnsi="宋体" w:eastAsia="宋体" w:cs="宋体"/>
          <w:kern w:val="0"/>
          <w:sz w:val="24"/>
          <w:szCs w:val="24"/>
        </w:rPr>
        <w:t>P与对照组比较P＜0.05，</w:t>
      </w:r>
      <w:r>
        <w:rPr>
          <w:rFonts w:hint="eastAsia" w:ascii="宋体" w:hAnsi="宋体" w:eastAsia="宋体" w:cs="宋体"/>
          <w:kern w:val="0"/>
          <w:sz w:val="24"/>
          <w:szCs w:val="24"/>
          <w:vertAlign w:val="superscript"/>
        </w:rPr>
        <w:t>c</w:t>
      </w:r>
      <w:r>
        <w:rPr>
          <w:rFonts w:hint="eastAsia" w:ascii="宋体" w:hAnsi="宋体" w:eastAsia="宋体" w:cs="宋体"/>
          <w:kern w:val="0"/>
          <w:sz w:val="24"/>
          <w:szCs w:val="24"/>
        </w:rPr>
        <w:t>P与镜像组比较P＜0.05,</w:t>
      </w:r>
      <w:r>
        <w:rPr>
          <w:rFonts w:hint="eastAsia" w:ascii="宋体" w:hAnsi="宋体" w:eastAsia="宋体" w:cs="宋体"/>
          <w:kern w:val="0"/>
          <w:sz w:val="24"/>
          <w:szCs w:val="24"/>
          <w:vertAlign w:val="superscript"/>
        </w:rPr>
        <w:t>d</w:t>
      </w:r>
      <w:r>
        <w:rPr>
          <w:rFonts w:hint="eastAsia" w:ascii="宋体" w:hAnsi="宋体" w:eastAsia="宋体" w:cs="宋体"/>
          <w:kern w:val="0"/>
          <w:sz w:val="24"/>
          <w:szCs w:val="24"/>
        </w:rPr>
        <w:t>P与手套组比较P＜0.05</w:t>
      </w:r>
    </w:p>
    <w:p w14:paraId="5762E610">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3977640" cy="266700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977640" cy="2667000"/>
                    </a:xfrm>
                    <a:prstGeom prst="rect">
                      <a:avLst/>
                    </a:prstGeom>
                    <a:noFill/>
                    <a:ln>
                      <a:noFill/>
                    </a:ln>
                  </pic:spPr>
                </pic:pic>
              </a:graphicData>
            </a:graphic>
          </wp:inline>
        </w:drawing>
      </w:r>
      <w:r>
        <w:rPr>
          <w:rFonts w:hint="eastAsia" w:ascii="宋体" w:hAnsi="宋体" w:eastAsia="宋体" w:cs="宋体"/>
          <w:sz w:val="24"/>
          <w:szCs w:val="24"/>
        </w:rPr>
        <w:t xml:space="preserve"> </w:t>
      </w:r>
    </w:p>
    <w:p w14:paraId="0820E927">
      <w:pPr>
        <w:keepLines w:val="0"/>
        <w:pageBreakBefore w:val="0"/>
        <w:widowControl/>
        <w:kinsoku/>
        <w:wordWrap/>
        <w:overflowPunct/>
        <w:topLinePunct w:val="0"/>
        <w:autoSpaceDE w:val="0"/>
        <w:autoSpaceDN/>
        <w:bidi w:val="0"/>
        <w:spacing w:before="120" w:after="240" w:line="240" w:lineRule="auto"/>
        <w:ind w:left="0" w:leftChars="0"/>
        <w:jc w:val="left"/>
        <w:rPr>
          <w:rFonts w:hint="eastAsia" w:ascii="宋体" w:hAnsi="宋体" w:eastAsia="宋体" w:cs="宋体"/>
          <w:sz w:val="24"/>
          <w:szCs w:val="24"/>
        </w:rPr>
      </w:pPr>
      <w:r>
        <w:rPr>
          <w:rFonts w:hint="eastAsia" w:ascii="宋体" w:hAnsi="宋体" w:eastAsia="宋体" w:cs="宋体"/>
          <w:sz w:val="24"/>
          <w:szCs w:val="24"/>
        </w:rPr>
        <w:t>图3.2 ARAT交互效应图</w:t>
      </w:r>
    </w:p>
    <w:bookmarkEnd w:id="94"/>
    <w:p w14:paraId="00C08248">
      <w:pPr>
        <w:keepLines w:val="0"/>
        <w:pageBreakBefore w:val="0"/>
        <w:kinsoku/>
        <w:wordWrap/>
        <w:overflowPunct/>
        <w:topLinePunct w:val="0"/>
        <w:autoSpaceDN/>
        <w:bidi w:val="0"/>
        <w:spacing w:before="480" w:after="120" w:line="240" w:lineRule="auto"/>
        <w:ind w:left="0" w:leftChars="0"/>
        <w:jc w:val="left"/>
        <w:outlineLvl w:val="0"/>
        <w:rPr>
          <w:rFonts w:hint="eastAsia" w:ascii="宋体" w:hAnsi="宋体" w:eastAsia="宋体" w:cs="宋体"/>
          <w:b/>
          <w:bCs w:val="0"/>
          <w:color w:val="C00000"/>
          <w:sz w:val="28"/>
          <w:szCs w:val="28"/>
        </w:rPr>
      </w:pPr>
      <w:r>
        <w:rPr>
          <w:rFonts w:hint="eastAsia" w:ascii="宋体" w:hAnsi="宋体" w:eastAsia="宋体" w:cs="宋体"/>
          <w:b/>
          <w:bCs w:val="0"/>
          <w:color w:val="C00000"/>
          <w:sz w:val="28"/>
          <w:szCs w:val="28"/>
        </w:rPr>
        <w:t>3.5 fNIRs结果</w:t>
      </w:r>
    </w:p>
    <w:p w14:paraId="23583152">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Segoe UI" w:hAnsi="Segoe UI" w:eastAsia="Segoe UI" w:cs="Segoe UI"/>
          <w:b/>
          <w:bCs/>
          <w:i w:val="0"/>
          <w:iCs w:val="0"/>
          <w:caps w:val="0"/>
          <w:color w:val="0F1115"/>
          <w:spacing w:val="0"/>
          <w:sz w:val="19"/>
          <w:szCs w:val="19"/>
          <w:shd w:val="clear" w:fill="FFFFFF"/>
        </w:rPr>
      </w:pPr>
      <w:r>
        <w:rPr>
          <w:rFonts w:hint="default" w:ascii="Segoe UI" w:hAnsi="Segoe UI" w:eastAsia="Segoe UI" w:cs="Segoe UI"/>
          <w:b/>
          <w:bCs/>
          <w:i w:val="0"/>
          <w:iCs w:val="0"/>
          <w:caps w:val="0"/>
          <w:color w:val="0F1115"/>
          <w:spacing w:val="0"/>
          <w:sz w:val="19"/>
          <w:szCs w:val="19"/>
          <w:shd w:val="clear" w:fill="FFFFFF"/>
        </w:rPr>
        <w:t>皮层激活与组内HbO浓度变化为评估各项干预措施的效果，我们首先比较了各组治疗前后的HbO浓度（表3.7）。在对照组中，治疗后仅左侧背外侧前额叶皮层（DLPFC_L）的HbO浓度出现显著下降（t = -2.100，P = 0.036）；而对照组其他所有感兴趣区域（ROI）、手套疗法组、镜像疗法组及联合疗法组的所有ROI均未检测到显著变化（均P &gt; 0.05）。</w:t>
      </w:r>
    </w:p>
    <w:p w14:paraId="3FC0883C">
      <w:pPr>
        <w:pStyle w:val="5"/>
        <w:keepNext w:val="0"/>
        <w:keepLines w:val="0"/>
        <w:widowControl/>
        <w:suppressLineNumbers w:val="0"/>
        <w:shd w:val="clear" w:fill="FFFFFF"/>
        <w:spacing w:before="192" w:beforeAutospacing="0" w:after="192" w:afterAutospacing="0" w:line="336" w:lineRule="atLeast"/>
        <w:ind w:left="0" w:right="0" w:firstLine="0"/>
      </w:pPr>
      <w:r>
        <w:rPr>
          <w:rFonts w:hint="default" w:ascii="Segoe UI" w:hAnsi="Segoe UI" w:eastAsia="Segoe UI" w:cs="Segoe UI"/>
          <w:b/>
          <w:bCs/>
          <w:i w:val="0"/>
          <w:iCs w:val="0"/>
          <w:caps w:val="0"/>
          <w:color w:val="0F1115"/>
          <w:spacing w:val="0"/>
          <w:sz w:val="19"/>
          <w:szCs w:val="19"/>
          <w:shd w:val="clear" w:fill="FFFFFF"/>
        </w:rPr>
        <w:t>对皮质激活图（图3.4）的视觉分析显示，对照组存在明显的半球差异趋势：同侧病变半球（左侧）的HbO值降低，而对侧半球则略有升高。相比之下，镜像疗法组和联合疗法组均表现出同侧感觉运动皮层HbO值显著升高的明显趋势；而手套疗法组在所有感兴趣区域（ROI）内的变化均较为轻微。</w:t>
      </w:r>
      <w:r>
        <w:drawing>
          <wp:inline distT="0" distB="0" distL="114300" distR="114300">
            <wp:extent cx="3150870" cy="2474595"/>
            <wp:effectExtent l="0" t="0" r="381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3150870" cy="2474595"/>
                    </a:xfrm>
                    <a:prstGeom prst="rect">
                      <a:avLst/>
                    </a:prstGeom>
                    <a:noFill/>
                    <a:ln>
                      <a:noFill/>
                    </a:ln>
                  </pic:spPr>
                </pic:pic>
              </a:graphicData>
            </a:graphic>
          </wp:inline>
        </w:drawing>
      </w:r>
    </w:p>
    <w:p w14:paraId="36FD270B">
      <w:pPr>
        <w:keepNext w:val="0"/>
        <w:keepLines w:val="0"/>
        <w:pageBreakBefore w:val="0"/>
        <w:widowControl/>
        <w:kinsoku/>
        <w:wordWrap/>
        <w:overflowPunct/>
        <w:topLinePunct w:val="0"/>
        <w:autoSpaceDE/>
        <w:autoSpaceDN/>
        <w:bidi w:val="0"/>
        <w:adjustRightInd/>
        <w:snapToGrid/>
        <w:spacing w:before="120" w:after="240"/>
        <w:jc w:val="center"/>
        <w:textAlignment w:val="auto"/>
        <w:rPr>
          <w:rFonts w:hint="eastAsia" w:ascii="宋体" w:hAnsi="宋体"/>
          <w:szCs w:val="21"/>
        </w:rPr>
      </w:pPr>
      <w:r>
        <w:rPr>
          <w:rFonts w:hint="eastAsia" w:ascii="宋体" w:hAnsi="宋体"/>
          <w:szCs w:val="21"/>
        </w:rPr>
        <w:t>图</w:t>
      </w:r>
      <w:r>
        <w:rPr>
          <w:rFonts w:hint="eastAsia" w:ascii="宋体" w:hAnsi="宋体"/>
          <w:szCs w:val="21"/>
          <w:lang w:val="en-US" w:eastAsia="zh-CN"/>
        </w:rPr>
        <w:t>3.4</w:t>
      </w:r>
      <w:r>
        <w:rPr>
          <w:rFonts w:hint="eastAsia" w:ascii="宋体" w:hAnsi="宋体"/>
          <w:szCs w:val="21"/>
        </w:rPr>
        <w:t xml:space="preserve"> 治疗前后4组氧合血红蛋白浓度的变化</w:t>
      </w:r>
    </w:p>
    <w:p w14:paraId="26593960">
      <w:pPr>
        <w:keepNext w:val="0"/>
        <w:keepLines w:val="0"/>
        <w:pageBreakBefore w:val="0"/>
        <w:widowControl/>
        <w:kinsoku/>
        <w:wordWrap/>
        <w:overflowPunct/>
        <w:topLinePunct w:val="0"/>
        <w:autoSpaceDE/>
        <w:autoSpaceDN/>
        <w:bidi w:val="0"/>
        <w:adjustRightInd/>
        <w:snapToGrid/>
        <w:spacing w:before="120" w:after="240"/>
        <w:jc w:val="center"/>
        <w:textAlignment w:val="auto"/>
        <w:rPr>
          <w:rFonts w:hint="eastAsia" w:ascii="宋体" w:hAnsi="宋体"/>
          <w:szCs w:val="21"/>
        </w:rPr>
      </w:pPr>
      <w:r>
        <w:rPr>
          <w:rFonts w:hint="eastAsia" w:ascii="宋体" w:hAnsi="宋体"/>
          <w:szCs w:val="21"/>
        </w:rPr>
        <w:t>注:</w:t>
      </w:r>
      <w:r>
        <w:rPr>
          <w:rFonts w:hint="default" w:ascii="Times New Roman" w:hAnsi="Times New Roman" w:cs="Times New Roman"/>
          <w:szCs w:val="21"/>
        </w:rPr>
        <w:t>A</w:t>
      </w:r>
      <w:r>
        <w:rPr>
          <w:rFonts w:hint="eastAsia" w:ascii="宋体" w:hAnsi="宋体"/>
          <w:szCs w:val="21"/>
        </w:rPr>
        <w:t>：对照组，</w:t>
      </w:r>
      <w:r>
        <w:rPr>
          <w:rFonts w:hint="default" w:ascii="Times New Roman" w:hAnsi="Times New Roman" w:cs="Times New Roman"/>
          <w:szCs w:val="21"/>
        </w:rPr>
        <w:t>B</w:t>
      </w:r>
      <w:r>
        <w:rPr>
          <w:rFonts w:hint="eastAsia" w:ascii="宋体" w:hAnsi="宋体"/>
          <w:szCs w:val="21"/>
        </w:rPr>
        <w:t>:手套组，</w:t>
      </w:r>
      <w:r>
        <w:rPr>
          <w:rFonts w:hint="default" w:ascii="Times New Roman" w:hAnsi="Times New Roman" w:cs="Times New Roman"/>
          <w:szCs w:val="21"/>
        </w:rPr>
        <w:t>C</w:t>
      </w:r>
      <w:r>
        <w:rPr>
          <w:rFonts w:hint="eastAsia" w:ascii="宋体" w:hAnsi="宋体"/>
          <w:szCs w:val="21"/>
        </w:rPr>
        <w:t>:镜像组，</w:t>
      </w:r>
      <w:r>
        <w:rPr>
          <w:rFonts w:hint="default" w:ascii="Times New Roman" w:hAnsi="Times New Roman" w:cs="Times New Roman"/>
          <w:szCs w:val="21"/>
        </w:rPr>
        <w:t>D</w:t>
      </w:r>
      <w:r>
        <w:rPr>
          <w:rFonts w:hint="eastAsia" w:ascii="宋体" w:hAnsi="宋体"/>
          <w:szCs w:val="21"/>
        </w:rPr>
        <w:t>:联合组；正负代表皮质激活方向，颜色越红代表</w:t>
      </w:r>
      <w:r>
        <w:rPr>
          <w:rFonts w:hint="eastAsia" w:ascii="Times New Roman" w:hAnsi="Times New Roman" w:cs="Times New Roman"/>
          <w:szCs w:val="21"/>
        </w:rPr>
        <w:t>HBO</w:t>
      </w:r>
      <w:r>
        <w:rPr>
          <w:rFonts w:hint="eastAsia" w:ascii="宋体" w:hAnsi="宋体"/>
          <w:szCs w:val="21"/>
        </w:rPr>
        <w:t>浓度越高，颜色越蓝则</w:t>
      </w:r>
      <w:r>
        <w:rPr>
          <w:rFonts w:hint="eastAsia" w:ascii="Times New Roman" w:hAnsi="Times New Roman" w:cs="Times New Roman"/>
          <w:szCs w:val="21"/>
        </w:rPr>
        <w:t>HBO</w:t>
      </w:r>
      <w:r>
        <w:rPr>
          <w:rFonts w:hint="eastAsia" w:ascii="宋体" w:hAnsi="宋体"/>
          <w:szCs w:val="21"/>
        </w:rPr>
        <w:t>浓度越低</w:t>
      </w:r>
    </w:p>
    <w:p w14:paraId="458E22FD">
      <w:pPr>
        <w:pStyle w:val="5"/>
        <w:keepNext w:val="0"/>
        <w:keepLines w:val="0"/>
        <w:widowControl/>
        <w:suppressLineNumbers w:val="0"/>
        <w:shd w:val="clear" w:fill="FFFFFF"/>
        <w:spacing w:before="192" w:beforeAutospacing="0" w:after="192" w:afterAutospacing="0" w:line="336" w:lineRule="atLeast"/>
        <w:ind w:left="0" w:right="0" w:firstLine="0"/>
        <w:rPr>
          <w:rFonts w:ascii="Segoe UI" w:hAnsi="Segoe UI" w:eastAsia="Segoe UI" w:cs="Segoe UI"/>
          <w:i w:val="0"/>
          <w:iCs w:val="0"/>
          <w:caps w:val="0"/>
          <w:color w:val="0F1115"/>
          <w:spacing w:val="0"/>
          <w:sz w:val="19"/>
          <w:szCs w:val="19"/>
          <w:shd w:val="clear" w:fill="FFFFFF"/>
        </w:rPr>
      </w:pPr>
    </w:p>
    <w:p w14:paraId="0289B6B5">
      <w:pPr>
        <w:keepLines w:val="0"/>
        <w:pageBreakBefore w:val="0"/>
        <w:kinsoku/>
        <w:wordWrap/>
        <w:overflowPunct/>
        <w:topLinePunct w:val="0"/>
        <w:autoSpaceDN/>
        <w:bidi w:val="0"/>
        <w:spacing w:before="480" w:after="120" w:line="240" w:lineRule="auto"/>
        <w:ind w:left="0" w:leftChars="0"/>
        <w:jc w:val="left"/>
        <w:outlineLvl w:val="0"/>
        <w:rPr>
          <w:rFonts w:hint="eastAsia"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br w:type="textWrapping"/>
      </w:r>
      <w:r>
        <w:rPr>
          <w:rFonts w:hint="eastAsia" w:ascii="Segoe UI" w:hAnsi="Segoe UI" w:eastAsia="Segoe UI" w:cs="Segoe UI"/>
          <w:i w:val="0"/>
          <w:iCs w:val="0"/>
          <w:caps w:val="0"/>
          <w:color w:val="0F1115"/>
          <w:spacing w:val="0"/>
          <w:sz w:val="19"/>
          <w:szCs w:val="19"/>
          <w:shd w:val="clear" w:fill="FFFFFF"/>
        </w:rPr>
        <w:t>组间比较：采用单因素方差分析比较四组受试者的治疗后HbO浓度。所有感兴趣区域（ROI）的治疗前基线HbO水平均具有可比性（各组间比较P值均&gt;0.05），证实干预前各队列具有同质性。</w:t>
      </w:r>
    </w:p>
    <w:p w14:paraId="6542A7C6">
      <w:pPr>
        <w:keepLines w:val="0"/>
        <w:pageBreakBefore w:val="0"/>
        <w:kinsoku/>
        <w:wordWrap/>
        <w:overflowPunct/>
        <w:topLinePunct w:val="0"/>
        <w:autoSpaceDN/>
        <w:bidi w:val="0"/>
        <w:spacing w:before="480" w:after="120" w:line="240" w:lineRule="auto"/>
        <w:ind w:left="0" w:leftChars="0"/>
        <w:jc w:val="left"/>
        <w:outlineLvl w:val="0"/>
        <w:rPr>
          <w:rFonts w:hint="eastAsia" w:ascii="Segoe UI" w:hAnsi="Segoe UI" w:eastAsia="Segoe UI" w:cs="Segoe UI"/>
          <w:i w:val="0"/>
          <w:iCs w:val="0"/>
          <w:caps w:val="0"/>
          <w:color w:val="0F1115"/>
          <w:spacing w:val="0"/>
          <w:sz w:val="19"/>
          <w:szCs w:val="19"/>
          <w:shd w:val="clear" w:fill="FFFFFF"/>
        </w:rPr>
      </w:pPr>
      <w:r>
        <w:rPr>
          <w:rFonts w:hint="eastAsia" w:ascii="Segoe UI" w:hAnsi="Segoe UI" w:eastAsia="Segoe UI" w:cs="Segoe UI"/>
          <w:i w:val="0"/>
          <w:iCs w:val="0"/>
          <w:caps w:val="0"/>
          <w:color w:val="0F1115"/>
          <w:spacing w:val="0"/>
          <w:sz w:val="19"/>
          <w:szCs w:val="19"/>
          <w:shd w:val="clear" w:fill="FFFFFF"/>
        </w:rPr>
        <w:t>治疗后分析显示，四个左半球感兴趣区域（ROI）存在显著的组间差异：前额叶皮层（PFC_L）、背外侧前额叶皮层（DLPFC_L）、辅助运动区（SMC_L）以及初级感觉运动皮层（SAC_L）（所有F值均&gt;9.1，P&lt;0.05；表3.7）。右半球ROI区域则未发现显著差异。</w:t>
      </w:r>
    </w:p>
    <w:p w14:paraId="6A3E649F">
      <w:pPr>
        <w:keepLines w:val="0"/>
        <w:pageBreakBefore w:val="0"/>
        <w:kinsoku/>
        <w:wordWrap/>
        <w:overflowPunct/>
        <w:topLinePunct w:val="0"/>
        <w:autoSpaceDN/>
        <w:bidi w:val="0"/>
        <w:spacing w:before="480" w:after="120" w:line="240" w:lineRule="auto"/>
        <w:ind w:left="0" w:leftChars="0"/>
        <w:jc w:val="left"/>
        <w:outlineLvl w:val="0"/>
        <w:rPr>
          <w:rFonts w:hint="eastAsia" w:ascii="Segoe UI" w:hAnsi="Segoe UI" w:eastAsia="Segoe UI" w:cs="Segoe UI"/>
          <w:i w:val="0"/>
          <w:iCs w:val="0"/>
          <w:caps w:val="0"/>
          <w:color w:val="0F1115"/>
          <w:spacing w:val="0"/>
          <w:sz w:val="19"/>
          <w:szCs w:val="19"/>
          <w:shd w:val="clear" w:fill="FFFFFF"/>
        </w:rPr>
      </w:pPr>
      <w:r>
        <w:rPr>
          <w:rFonts w:hint="eastAsia" w:ascii="Segoe UI" w:hAnsi="Segoe UI" w:eastAsia="Segoe UI" w:cs="Segoe UI"/>
          <w:i w:val="0"/>
          <w:iCs w:val="0"/>
          <w:caps w:val="0"/>
          <w:color w:val="0F1115"/>
          <w:spacing w:val="0"/>
          <w:sz w:val="19"/>
          <w:szCs w:val="19"/>
          <w:shd w:val="clear" w:fill="FFFFFF"/>
        </w:rPr>
        <w:t>事后两两比较（表3.8）进一步阐明了这些差异：</w:t>
      </w:r>
    </w:p>
    <w:p w14:paraId="35991167">
      <w:pPr>
        <w:keepLines w:val="0"/>
        <w:pageBreakBefore w:val="0"/>
        <w:kinsoku/>
        <w:wordWrap/>
        <w:overflowPunct/>
        <w:topLinePunct w:val="0"/>
        <w:autoSpaceDN/>
        <w:bidi w:val="0"/>
        <w:spacing w:before="480" w:after="120" w:line="240" w:lineRule="auto"/>
        <w:ind w:left="0" w:leftChars="0"/>
        <w:jc w:val="left"/>
        <w:outlineLvl w:val="0"/>
        <w:rPr>
          <w:rFonts w:hint="eastAsia" w:ascii="Segoe UI" w:hAnsi="Segoe UI" w:eastAsia="Segoe UI" w:cs="Segoe UI"/>
          <w:i w:val="0"/>
          <w:iCs w:val="0"/>
          <w:caps w:val="0"/>
          <w:color w:val="0F1115"/>
          <w:spacing w:val="0"/>
          <w:sz w:val="19"/>
          <w:szCs w:val="19"/>
          <w:shd w:val="clear" w:fill="FFFFFF"/>
        </w:rPr>
      </w:pPr>
      <w:r>
        <w:rPr>
          <w:rFonts w:hint="eastAsia" w:ascii="Segoe UI" w:hAnsi="Segoe UI" w:eastAsia="Segoe UI" w:cs="Segoe UI"/>
          <w:i w:val="0"/>
          <w:iCs w:val="0"/>
          <w:caps w:val="0"/>
          <w:color w:val="0F1115"/>
          <w:spacing w:val="0"/>
          <w:sz w:val="19"/>
          <w:szCs w:val="19"/>
          <w:shd w:val="clear" w:fill="FFFFFF"/>
        </w:rPr>
        <w:t>在 DLPFC_L 、 SMC_L 和 SAC_L 实验中，所有三个主动干预组（手套组、镜子组及联合组）的HbO浓度均显著高于对照组（均P&lt;0.05）；但三组治疗方案之间未发现显著差异（均P&gt;0.05）。</w:t>
      </w:r>
    </w:p>
    <w:p w14:paraId="693EF3EB">
      <w:pPr>
        <w:keepLines w:val="0"/>
        <w:pageBreakBefore w:val="0"/>
        <w:kinsoku/>
        <w:wordWrap/>
        <w:overflowPunct/>
        <w:topLinePunct w:val="0"/>
        <w:autoSpaceDN/>
        <w:bidi w:val="0"/>
        <w:spacing w:before="480" w:after="120" w:line="240" w:lineRule="auto"/>
        <w:ind w:left="0" w:leftChars="0"/>
        <w:jc w:val="left"/>
        <w:outlineLvl w:val="0"/>
        <w:rPr>
          <w:rFonts w:hint="eastAsia" w:ascii="Segoe UI" w:hAnsi="Segoe UI" w:eastAsia="Segoe UI" w:cs="Segoe UI"/>
          <w:i w:val="0"/>
          <w:iCs w:val="0"/>
          <w:caps w:val="0"/>
          <w:color w:val="0F1115"/>
          <w:spacing w:val="0"/>
          <w:sz w:val="19"/>
          <w:szCs w:val="19"/>
          <w:shd w:val="clear" w:fill="FFFFFF"/>
        </w:rPr>
      </w:pPr>
      <w:r>
        <w:rPr>
          <w:rFonts w:hint="eastAsia" w:ascii="Segoe UI" w:hAnsi="Segoe UI" w:eastAsia="Segoe UI" w:cs="Segoe UI"/>
          <w:i w:val="0"/>
          <w:iCs w:val="0"/>
          <w:caps w:val="0"/>
          <w:color w:val="0F1115"/>
          <w:spacing w:val="0"/>
          <w:sz w:val="19"/>
          <w:szCs w:val="19"/>
          <w:shd w:val="clear" w:fill="FFFFFF"/>
        </w:rPr>
        <w:t>在 PFC_L 中，仅联合治疗组的HbO浓度显著高于对照组（P=0.004）。手套组和镜片组与对照组无显著差异，而联合治疗组与其他两个干预组之间亦无统计学差异。</w:t>
      </w:r>
    </w:p>
    <w:p w14:paraId="0224A7C1">
      <w:pPr>
        <w:pStyle w:val="1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shd w:val="clear" w:fill="FFFFFF"/>
        </w:rPr>
      </w:pPr>
      <w:r>
        <w:rPr>
          <w:rFonts w:hint="eastAsia" w:ascii="Segoe UI" w:hAnsi="Segoe UI" w:eastAsia="Segoe UI" w:cs="Segoe UI"/>
          <w:i w:val="0"/>
          <w:iCs w:val="0"/>
          <w:caps w:val="0"/>
          <w:color w:val="0F1115"/>
          <w:spacing w:val="0"/>
          <w:sz w:val="19"/>
          <w:szCs w:val="19"/>
          <w:shd w:val="clear" w:fill="FFFFFF"/>
        </w:rPr>
        <w:t>与统计结果一致，地形图（图3.5）持续表明：所有三种干预措施——尤其是联合疗法和镜像疗法——相较于对照组，在病灶同侧左半球均引发了显著的皮质激活（血红蛋白氧合水平升高）；而三组干预措施之间的差异在视觉上较为微弱且无统计学意义。</w:t>
      </w:r>
    </w:p>
    <w:p w14:paraId="52B2E178">
      <w:pPr>
        <w:pStyle w:val="1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p>
    <w:p w14:paraId="5557D602">
      <w:pPr>
        <w:keepLines w:val="0"/>
        <w:pageBreakBefore w:val="0"/>
        <w:kinsoku/>
        <w:wordWrap/>
        <w:overflowPunct/>
        <w:topLinePunct w:val="0"/>
        <w:autoSpaceDN/>
        <w:bidi w:val="0"/>
        <w:spacing w:before="480" w:after="120" w:line="240" w:lineRule="auto"/>
        <w:ind w:left="0" w:leftChars="0"/>
        <w:jc w:val="left"/>
        <w:outlineLvl w:val="0"/>
        <w:rPr>
          <w:rFonts w:hint="eastAsia" w:ascii="宋体" w:hAnsi="宋体"/>
          <w:sz w:val="21"/>
          <w:szCs w:val="21"/>
        </w:rPr>
      </w:pPr>
      <w:r>
        <w:rPr>
          <w:rFonts w:hint="eastAsia" w:ascii="宋体" w:hAnsi="宋体"/>
          <w:sz w:val="21"/>
          <w:szCs w:val="21"/>
        </w:rPr>
        <w:drawing>
          <wp:inline distT="0" distB="0" distL="114300" distR="114300">
            <wp:extent cx="5821045" cy="3379470"/>
            <wp:effectExtent l="0" t="0" r="635" b="3810"/>
            <wp:docPr id="3" name="图片 2" descr="WPS拼图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WPS拼图23"/>
                    <pic:cNvPicPr>
                      <a:picLocks noChangeAspect="1"/>
                    </pic:cNvPicPr>
                  </pic:nvPicPr>
                  <pic:blipFill>
                    <a:blip r:embed="rId12"/>
                    <a:stretch>
                      <a:fillRect/>
                    </a:stretch>
                  </pic:blipFill>
                  <pic:spPr>
                    <a:xfrm>
                      <a:off x="0" y="0"/>
                      <a:ext cx="5821045" cy="3379470"/>
                    </a:xfrm>
                    <a:prstGeom prst="rect">
                      <a:avLst/>
                    </a:prstGeom>
                    <a:noFill/>
                    <a:ln>
                      <a:noFill/>
                    </a:ln>
                  </pic:spPr>
                </pic:pic>
              </a:graphicData>
            </a:graphic>
          </wp:inline>
        </w:drawing>
      </w:r>
    </w:p>
    <w:p w14:paraId="6F82A476">
      <w:pPr>
        <w:pStyle w:val="7"/>
        <w:keepNext w:val="0"/>
        <w:keepLines w:val="0"/>
        <w:pageBreakBefore w:val="0"/>
        <w:widowControl w:val="0"/>
        <w:kinsoku/>
        <w:wordWrap/>
        <w:overflowPunct/>
        <w:topLinePunct w:val="0"/>
        <w:autoSpaceDE/>
        <w:autoSpaceDN/>
        <w:bidi w:val="0"/>
        <w:adjustRightInd/>
        <w:snapToGrid/>
        <w:spacing w:before="120" w:after="240" w:line="240" w:lineRule="auto"/>
        <w:ind w:firstLine="0" w:firstLineChars="0"/>
        <w:jc w:val="center"/>
        <w:textAlignment w:val="auto"/>
        <w:rPr>
          <w:rFonts w:ascii="宋体" w:hAnsi="宋体"/>
          <w:sz w:val="21"/>
          <w:szCs w:val="21"/>
        </w:rPr>
      </w:pPr>
      <w:r>
        <w:rPr>
          <w:rFonts w:ascii="宋体" w:hAnsi="宋体"/>
          <w:sz w:val="21"/>
          <w:szCs w:val="21"/>
        </w:rPr>
        <w:t>图3</w:t>
      </w:r>
      <w:r>
        <w:rPr>
          <w:rFonts w:hint="eastAsia" w:ascii="宋体" w:hAnsi="宋体"/>
          <w:sz w:val="21"/>
          <w:szCs w:val="21"/>
          <w:lang w:val="en-US" w:eastAsia="zh-CN"/>
        </w:rPr>
        <w:t>.5</w:t>
      </w:r>
      <w:r>
        <w:rPr>
          <w:rFonts w:ascii="宋体" w:hAnsi="宋体"/>
          <w:sz w:val="21"/>
          <w:szCs w:val="21"/>
        </w:rPr>
        <w:t xml:space="preserve"> 治疗前后组间两两比较</w:t>
      </w:r>
      <w:r>
        <w:rPr>
          <w:rFonts w:hint="eastAsia" w:eastAsia="宋体"/>
          <w:sz w:val="21"/>
          <w:szCs w:val="21"/>
        </w:rPr>
        <w:t>HBO</w:t>
      </w:r>
      <w:r>
        <w:rPr>
          <w:rFonts w:hint="eastAsia"/>
          <w:sz w:val="21"/>
          <w:szCs w:val="21"/>
        </w:rPr>
        <w:t>浓度</w:t>
      </w:r>
      <w:r>
        <w:rPr>
          <w:rFonts w:ascii="宋体" w:hAnsi="宋体"/>
          <w:sz w:val="21"/>
          <w:szCs w:val="21"/>
        </w:rPr>
        <w:t>差异</w:t>
      </w:r>
    </w:p>
    <w:p w14:paraId="6EF91D56">
      <w:pPr>
        <w:pStyle w:val="7"/>
        <w:keepNext w:val="0"/>
        <w:keepLines w:val="0"/>
        <w:pageBreakBefore w:val="0"/>
        <w:widowControl w:val="0"/>
        <w:kinsoku/>
        <w:wordWrap/>
        <w:overflowPunct/>
        <w:topLinePunct w:val="0"/>
        <w:autoSpaceDE/>
        <w:autoSpaceDN/>
        <w:bidi w:val="0"/>
        <w:adjustRightInd/>
        <w:snapToGrid/>
        <w:spacing w:before="120" w:after="240" w:line="240" w:lineRule="auto"/>
        <w:ind w:firstLine="0" w:firstLineChars="0"/>
        <w:jc w:val="center"/>
        <w:textAlignment w:val="auto"/>
        <w:rPr>
          <w:rFonts w:ascii="宋体" w:hAnsi="宋体" w:eastAsia="宋体" w:cs="宋体"/>
          <w:sz w:val="21"/>
          <w:szCs w:val="21"/>
        </w:rPr>
      </w:pPr>
      <w:r>
        <w:rPr>
          <w:rFonts w:hint="eastAsia" w:ascii="宋体" w:hAnsi="宋体" w:eastAsia="宋体" w:cs="宋体"/>
          <w:sz w:val="21"/>
          <w:szCs w:val="21"/>
        </w:rPr>
        <w:t>注:正负代表皮质激活方向，颜色越红代表</w:t>
      </w:r>
      <w:r>
        <w:rPr>
          <w:rFonts w:hint="eastAsia" w:eastAsia="宋体"/>
          <w:sz w:val="21"/>
          <w:szCs w:val="21"/>
        </w:rPr>
        <w:t>HBO</w:t>
      </w:r>
      <w:r>
        <w:rPr>
          <w:rFonts w:hint="eastAsia" w:ascii="宋体" w:hAnsi="宋体" w:eastAsia="宋体" w:cs="宋体"/>
          <w:sz w:val="21"/>
          <w:szCs w:val="21"/>
        </w:rPr>
        <w:t>浓度越高，颜色越蓝则HBO浓度越低</w:t>
      </w:r>
    </w:p>
    <w:p w14:paraId="11B07591">
      <w:pPr>
        <w:keepNext w:val="0"/>
        <w:keepLines w:val="0"/>
        <w:pageBreakBefore w:val="0"/>
        <w:widowControl w:val="0"/>
        <w:kinsoku/>
        <w:wordWrap/>
        <w:overflowPunct/>
        <w:topLinePunct w:val="0"/>
        <w:autoSpaceDE/>
        <w:autoSpaceDN/>
        <w:bidi w:val="0"/>
        <w:adjustRightInd/>
        <w:snapToGrid/>
        <w:spacing w:before="120" w:after="240"/>
        <w:jc w:val="both"/>
        <w:textAlignment w:val="auto"/>
        <w:rPr>
          <w:rFonts w:ascii="宋体" w:hAnsi="宋体"/>
          <w:sz w:val="21"/>
          <w:szCs w:val="21"/>
        </w:rPr>
      </w:pPr>
    </w:p>
    <w:p w14:paraId="1CB5E596">
      <w:pPr>
        <w:keepNext w:val="0"/>
        <w:keepLines w:val="0"/>
        <w:pageBreakBefore w:val="0"/>
        <w:widowControl w:val="0"/>
        <w:kinsoku/>
        <w:wordWrap/>
        <w:overflowPunct/>
        <w:topLinePunct w:val="0"/>
        <w:autoSpaceDE/>
        <w:autoSpaceDN/>
        <w:bidi w:val="0"/>
        <w:adjustRightInd/>
        <w:snapToGrid/>
        <w:spacing w:before="120" w:after="240"/>
        <w:jc w:val="both"/>
        <w:textAlignment w:val="auto"/>
        <w:rPr>
          <w:rFonts w:hint="default" w:ascii="宋体" w:hAnsi="宋体"/>
          <w:color w:val="C00000"/>
          <w:sz w:val="21"/>
          <w:szCs w:val="21"/>
          <w:lang w:val="en-US" w:eastAsia="zh-CN"/>
        </w:rPr>
      </w:pPr>
      <w:r>
        <w:rPr>
          <w:rFonts w:hint="eastAsia" w:ascii="宋体" w:hAnsi="宋体"/>
          <w:color w:val="C00000"/>
          <w:sz w:val="21"/>
          <w:szCs w:val="21"/>
          <w:lang w:val="en-US" w:eastAsia="zh-CN"/>
        </w:rPr>
        <w:t>3.5.2</w:t>
      </w:r>
      <w:r>
        <w:rPr>
          <w:rFonts w:hint="default" w:ascii="Segoe UI" w:hAnsi="Segoe UI" w:eastAsia="Segoe UI" w:cs="Segoe UI"/>
          <w:b/>
          <w:bCs/>
          <w:i w:val="0"/>
          <w:iCs w:val="0"/>
          <w:caps w:val="0"/>
          <w:color w:val="C00000"/>
          <w:spacing w:val="0"/>
          <w:sz w:val="19"/>
          <w:szCs w:val="19"/>
          <w:shd w:val="clear" w:fill="FFFFFF"/>
        </w:rPr>
        <w:t xml:space="preserve"> Brain Network</w:t>
      </w:r>
      <w:r>
        <w:rPr>
          <w:rFonts w:hint="default" w:ascii="Segoe UI" w:hAnsi="Segoe UI" w:eastAsia="Segoe UI" w:cs="Segoe UI"/>
          <w:i w:val="0"/>
          <w:iCs w:val="0"/>
          <w:caps w:val="0"/>
          <w:color w:val="C00000"/>
          <w:spacing w:val="0"/>
          <w:sz w:val="19"/>
          <w:szCs w:val="19"/>
          <w:shd w:val="clear" w:fill="FFFFFF"/>
        </w:rPr>
        <w:br w:type="textWrapping"/>
      </w:r>
    </w:p>
    <w:p w14:paraId="596228AF">
      <w:pPr>
        <w:keepLines w:val="0"/>
        <w:pageBreakBefore w:val="0"/>
        <w:kinsoku/>
        <w:wordWrap/>
        <w:overflowPunct/>
        <w:topLinePunct w:val="0"/>
        <w:autoSpaceDN/>
        <w:bidi w:val="0"/>
        <w:spacing w:before="480" w:after="120" w:line="240" w:lineRule="auto"/>
        <w:ind w:left="0" w:leftChars="0"/>
        <w:jc w:val="left"/>
        <w:outlineLvl w:val="0"/>
        <w:rPr>
          <w:rFonts w:hint="eastAsia" w:ascii="宋体" w:hAnsi="宋体" w:eastAsia="宋体" w:cs="宋体"/>
          <w:b/>
          <w:bCs w:val="0"/>
          <w:color w:val="C00000"/>
          <w:sz w:val="28"/>
          <w:szCs w:val="28"/>
        </w:rPr>
      </w:pPr>
    </w:p>
    <w:p w14:paraId="0E4F1162">
      <w:pPr>
        <w:keepLines w:val="0"/>
        <w:pageBreakBefore w:val="0"/>
        <w:kinsoku/>
        <w:wordWrap/>
        <w:overflowPunct/>
        <w:topLinePunct w:val="0"/>
        <w:autoSpaceDN/>
        <w:bidi w:val="0"/>
        <w:spacing w:before="480" w:after="120" w:line="240" w:lineRule="auto"/>
        <w:ind w:left="0" w:leftChars="0"/>
        <w:jc w:val="left"/>
        <w:outlineLvl w:val="0"/>
        <w:rPr>
          <w:rFonts w:hint="eastAsia" w:ascii="宋体" w:hAnsi="宋体" w:eastAsia="宋体" w:cs="宋体"/>
          <w:b/>
          <w:bCs w:val="0"/>
          <w:color w:val="C00000"/>
          <w:sz w:val="28"/>
          <w:szCs w:val="28"/>
        </w:rPr>
      </w:pPr>
    </w:p>
    <w:p w14:paraId="558474ED">
      <w:pPr>
        <w:pStyle w:val="4"/>
        <w:keepNext w:val="0"/>
        <w:keepLines w:val="0"/>
        <w:widowControl/>
        <w:suppressLineNumbers w:val="0"/>
        <w:shd w:val="clear" w:fill="FFFFFF"/>
        <w:spacing w:before="288" w:beforeAutospacing="0" w:after="96" w:afterAutospacing="0" w:line="15" w:lineRule="atLeast"/>
        <w:ind w:left="0" w:right="0" w:firstLine="0"/>
        <w:rPr>
          <w:rFonts w:ascii="Helvetica" w:hAnsi="Helvetica" w:eastAsia="Helvetica" w:cs="Helvetica"/>
          <w:b/>
          <w:bCs/>
          <w:i w:val="0"/>
          <w:iCs w:val="0"/>
          <w:caps w:val="0"/>
          <w:color w:val="C00000"/>
          <w:spacing w:val="0"/>
        </w:rPr>
      </w:pPr>
      <w:r>
        <w:rPr>
          <w:rFonts w:hint="default" w:ascii="Helvetica" w:hAnsi="Helvetica" w:eastAsia="Helvetica" w:cs="Helvetica"/>
          <w:b/>
          <w:bCs/>
          <w:i w:val="0"/>
          <w:iCs w:val="0"/>
          <w:caps w:val="0"/>
          <w:color w:val="C00000"/>
          <w:spacing w:val="0"/>
          <w:shd w:val="clear" w:fill="FFFFFF"/>
        </w:rPr>
        <w:t>皮层-皮层网络内的有效连接</w:t>
      </w:r>
    </w:p>
    <w:p w14:paraId="3FFC62F3">
      <w:pPr>
        <w:keepLines w:val="0"/>
        <w:pageBreakBefore w:val="0"/>
        <w:kinsoku/>
        <w:wordWrap/>
        <w:overflowPunct/>
        <w:topLinePunct w:val="0"/>
        <w:autoSpaceDN/>
        <w:bidi w:val="0"/>
        <w:spacing w:before="480" w:after="120" w:line="240" w:lineRule="auto"/>
        <w:ind w:left="0" w:leftChars="0"/>
        <w:jc w:val="left"/>
        <w:outlineLvl w:val="0"/>
        <w:rPr>
          <w:rFonts w:hint="eastAsia" w:ascii="宋体" w:hAnsi="宋体" w:eastAsia="宋体" w:cs="宋体"/>
          <w:bCs/>
          <w:sz w:val="24"/>
          <w:szCs w:val="24"/>
        </w:rPr>
      </w:pPr>
    </w:p>
    <w:p w14:paraId="6B954B59">
      <w:pPr>
        <w:pStyle w:val="4"/>
        <w:keepNext w:val="0"/>
        <w:keepLines w:val="0"/>
        <w:pageBreakBefore w:val="0"/>
        <w:widowControl/>
        <w:suppressLineNumbers w:val="0"/>
        <w:shd w:val="clear" w:fill="FFFFFF"/>
        <w:kinsoku/>
        <w:wordWrap/>
        <w:overflowPunct/>
        <w:topLinePunct w:val="0"/>
        <w:autoSpaceDN/>
        <w:bidi w:val="0"/>
        <w:spacing w:before="384" w:beforeAutospacing="0" w:after="192" w:afterAutospacing="0" w:line="240" w:lineRule="auto"/>
        <w:ind w:left="0" w:leftChars="0" w:right="0" w:firstLine="0"/>
        <w:jc w:val="center"/>
      </w:pPr>
      <w:r>
        <w:drawing>
          <wp:inline distT="0" distB="0" distL="114300" distR="114300">
            <wp:extent cx="5478780" cy="4993005"/>
            <wp:effectExtent l="0" t="0" r="762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478780" cy="4993005"/>
                    </a:xfrm>
                    <a:prstGeom prst="rect">
                      <a:avLst/>
                    </a:prstGeom>
                    <a:noFill/>
                    <a:ln>
                      <a:noFill/>
                    </a:ln>
                  </pic:spPr>
                </pic:pic>
              </a:graphicData>
            </a:graphic>
          </wp:inline>
        </w:drawing>
      </w:r>
    </w:p>
    <w:p w14:paraId="78B8EBA2">
      <w:pPr>
        <w:pStyle w:val="4"/>
        <w:keepNext w:val="0"/>
        <w:keepLines w:val="0"/>
        <w:pageBreakBefore w:val="0"/>
        <w:widowControl/>
        <w:suppressLineNumbers w:val="0"/>
        <w:shd w:val="clear" w:fill="FFFFFF"/>
        <w:kinsoku/>
        <w:wordWrap/>
        <w:overflowPunct/>
        <w:topLinePunct w:val="0"/>
        <w:autoSpaceDN/>
        <w:bidi w:val="0"/>
        <w:spacing w:before="384" w:beforeAutospacing="0" w:after="192" w:afterAutospacing="0" w:line="240" w:lineRule="auto"/>
        <w:ind w:left="0" w:leftChars="0" w:right="0" w:firstLine="0"/>
        <w:jc w:val="center"/>
      </w:pPr>
    </w:p>
    <w:p w14:paraId="746E27CA">
      <w:pPr>
        <w:pStyle w:val="4"/>
        <w:keepNext w:val="0"/>
        <w:keepLines w:val="0"/>
        <w:pageBreakBefore w:val="0"/>
        <w:widowControl/>
        <w:suppressLineNumbers w:val="0"/>
        <w:shd w:val="clear" w:fill="FFFFFF"/>
        <w:kinsoku/>
        <w:wordWrap/>
        <w:overflowPunct/>
        <w:topLinePunct w:val="0"/>
        <w:autoSpaceDN/>
        <w:bidi w:val="0"/>
        <w:spacing w:before="384" w:beforeAutospacing="0" w:after="192" w:afterAutospacing="0" w:line="240" w:lineRule="auto"/>
        <w:ind w:left="0" w:leftChars="0" w:right="0" w:firstLine="0"/>
        <w:jc w:val="center"/>
        <w:rPr>
          <w:rFonts w:hint="eastAsia" w:ascii="宋体" w:hAnsi="宋体" w:eastAsia="宋体" w:cs="宋体"/>
          <w:b/>
          <w:bCs/>
          <w:caps w:val="0"/>
          <w:color w:val="0F1115"/>
          <w:spacing w:val="0"/>
          <w:sz w:val="28"/>
          <w:szCs w:val="28"/>
        </w:rPr>
      </w:pPr>
      <w:r>
        <w:rPr>
          <w:rFonts w:hint="eastAsia" w:ascii="宋体" w:hAnsi="宋体" w:eastAsia="宋体" w:cs="宋体"/>
          <w:b/>
          <w:bCs/>
          <w:caps w:val="0"/>
          <w:color w:val="0F1115"/>
          <w:spacing w:val="0"/>
          <w:sz w:val="28"/>
          <w:szCs w:val="28"/>
          <w:shd w:val="clear" w:fill="FFFFFF"/>
        </w:rPr>
        <w:t>Discussion</w:t>
      </w:r>
    </w:p>
    <w:p w14:paraId="593BD5ED">
      <w:pPr>
        <w:keepLines w:val="0"/>
        <w:pageBreakBefore w:val="0"/>
        <w:kinsoku/>
        <w:wordWrap/>
        <w:overflowPunct/>
        <w:topLinePunct w:val="0"/>
        <w:autoSpaceDE w:val="0"/>
        <w:autoSpaceDN/>
        <w:bidi w:val="0"/>
        <w:spacing w:before="480" w:after="120" w:line="240" w:lineRule="auto"/>
        <w:ind w:left="0" w:leftChars="0"/>
        <w:jc w:val="left"/>
        <w:outlineLvl w:val="0"/>
        <w:rPr>
          <w:rFonts w:hint="eastAsia" w:ascii="宋体" w:hAnsi="宋体" w:eastAsia="宋体" w:cs="宋体"/>
          <w:i w:val="0"/>
          <w:iCs w:val="0"/>
          <w:caps w:val="0"/>
          <w:color w:val="C00000"/>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本研究通过行为学评估与fNIRS脑功能监测相结合的方法，系统探讨了镜像疗法联合智能气动式柔性手套对脑卒中后手功能障碍的康复效果及其神经机制。行为学结果表明，联合干预在改善上肢运动功能（U-FMA近端与远端、ARAT）方面显著优于部分单一疗法及对照组，且在远端功能改善上存在显著的交互效应（p=0.042, η²=0.144），证实了镜像疗法与手套训练之间存在“1+1&gt;2”的协同效应。神经影像学进一步揭示，</w:t>
      </w:r>
      <w:r>
        <w:rPr>
          <w:rFonts w:hint="eastAsia" w:ascii="宋体" w:hAnsi="宋体" w:eastAsia="宋体" w:cs="宋体"/>
          <w:i w:val="0"/>
          <w:iCs w:val="0"/>
          <w:caps w:val="0"/>
          <w:color w:val="C00000"/>
          <w:spacing w:val="0"/>
          <w:sz w:val="24"/>
          <w:szCs w:val="24"/>
          <w:shd w:val="clear" w:fill="FFFFFF"/>
        </w:rPr>
        <w:t>网络基序分析发现了三条独立的显著网络通路（ISS/CATE/SNB，p&lt;0.001），其交集中的74条边中有61%为跨半球连接；且联合组半球间功能连接的变化量（Inter-Hemisphere ΔZ）与远端FMA评分改善（ΔFMA_distal）呈显著负相关（rₛ=-0.71, p=0.048），而近端功能无此相关性。这一发现揭示了联合干预促进远端手功能恢复的特异性神经机制。</w:t>
      </w:r>
    </w:p>
    <w:p w14:paraId="3BE5B1EA">
      <w:pPr>
        <w:pStyle w:val="3"/>
        <w:keepNext/>
        <w:keepLines w:val="0"/>
        <w:pageBreakBefore w:val="0"/>
        <w:kinsoku/>
        <w:wordWrap/>
        <w:overflowPunct/>
        <w:topLinePunct w:val="0"/>
        <w:autoSpaceDE w:val="0"/>
        <w:autoSpaceDN/>
        <w:bidi w:val="0"/>
        <w:spacing w:line="240" w:lineRule="auto"/>
        <w:ind w:left="0" w:leftChars="0"/>
        <w:jc w:val="left"/>
        <w:rPr>
          <w:rFonts w:hint="eastAsia" w:ascii="宋体" w:hAnsi="宋体" w:eastAsia="宋体" w:cs="宋体"/>
          <w:i w:val="0"/>
          <w:iCs w:val="0"/>
          <w:caps w:val="0"/>
          <w:color w:val="C00000"/>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上述结果与本研究提出的“多模态同步强化”假说高度一致。我们假设当视觉反馈（镜像）与体感反馈（手套）在时空上精确同步时，能够最大化激活感觉-运动整合网络。</w:t>
      </w:r>
      <w:r>
        <w:rPr>
          <w:rFonts w:hint="eastAsia" w:ascii="宋体" w:hAnsi="宋体" w:eastAsia="宋体" w:cs="宋体"/>
          <w:i w:val="0"/>
          <w:iCs w:val="0"/>
          <w:caps w:val="0"/>
          <w:color w:val="C00000"/>
          <w:spacing w:val="0"/>
          <w:sz w:val="24"/>
          <w:szCs w:val="24"/>
          <w:shd w:val="clear" w:fill="FFFFFF"/>
        </w:rPr>
        <w:t>fNIRS数据显示联合组在SMC_L、SAC_L、DLPFC_L等多个脑区的激活强度均显著高于对照组，且联合组在PFC_L的激活也显著增强，这为上述假说提供了直接的神经影像学证据。同时，析因分析显示FMA_distal的MT×PG交互项显著（p=0.042, η²=0.144），与脑网络层面的交互效应（η²=0.316）方向一致，这种行为学与神经影像学层面交互效应的一致性，为协同效应提供了跨层级的统计学支撑。此外，对照组的DLPFC_L区域活性呈下降趋势，提示无主动干预状态下，关键认知运动脑区可能出现功能退行，进一步凸显了主动干预对维持神经活动水平的必要性。</w:t>
      </w:r>
    </w:p>
    <w:p w14:paraId="1F071B47">
      <w:pPr>
        <w:keepLines w:val="0"/>
        <w:pageBreakBefore w:val="0"/>
        <w:kinsoku/>
        <w:wordWrap/>
        <w:overflowPunct/>
        <w:topLinePunct w:val="0"/>
        <w:autoSpaceDN/>
        <w:bidi w:val="0"/>
        <w:spacing w:line="240" w:lineRule="auto"/>
        <w:ind w:left="0" w:leftChars="0"/>
        <w:jc w:val="left"/>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本研究的神经机制发现与现有文献既有呼应之处，也存在重要延伸。既往研究表明，镜像疗法主要通过激活背侧运动前皮层与顶叶联合区增强运动计划能力[61]，而机器人辅助训练则通过密集的体感输入促进运动皮层手部代表区的神经重塑[62]。本研究的fNIRS数据证实了上述通路的存在，</w:t>
      </w:r>
      <w:r>
        <w:rPr>
          <w:rFonts w:hint="eastAsia" w:ascii="宋体" w:hAnsi="宋体" w:eastAsia="宋体" w:cs="宋体"/>
          <w:i w:val="0"/>
          <w:iCs w:val="0"/>
          <w:caps w:val="0"/>
          <w:color w:val="C00000"/>
          <w:spacing w:val="0"/>
          <w:sz w:val="24"/>
          <w:szCs w:val="24"/>
          <w:shd w:val="clear" w:fill="FFFFFF"/>
        </w:rPr>
        <w:t>并首次定量揭示了联合干预条件下跨半球功能连接的精简化趋势（Inter-Hemisphere ΔZ与ΔFMA_distal的负相关）。</w:t>
      </w:r>
      <w:r>
        <w:rPr>
          <w:rFonts w:hint="eastAsia" w:ascii="宋体" w:hAnsi="宋体" w:eastAsia="宋体" w:cs="宋体"/>
          <w:i w:val="0"/>
          <w:iCs w:val="0"/>
          <w:caps w:val="0"/>
          <w:color w:val="0F1115"/>
          <w:spacing w:val="0"/>
          <w:sz w:val="24"/>
          <w:szCs w:val="24"/>
          <w:shd w:val="clear" w:fill="FFFFFF"/>
        </w:rPr>
        <w:t>这一发现与Tang等采用双侧上肢机器人辅助治疗的研究[63]有所不同：Tang研究主要观察到双侧对称性运动增强半球间抑制平衡，而本研究发现联合干预诱导了跨半球连接的精简（Pruning），即从“代偿性扩张”转向“高效神经编码”。这种差异可能源于干预模式的不同——BURT依赖双侧主动运动，而本方案采用“中枢表象重塑（镜像）—外周强制应用（手套）”的协同路径，后者可能更侧重于消除冗余连接而非建立新连接。此外，与Wen等[42]采用复合训练模式的研究相比，本研究发现功能改善与日常生活能力提升存在分离现象，这可能与本研究的干预更为聚焦于手部精细运动（握拳、伸指）而非多关节协调的日常活动模拟有关，提示不同干预模式的泛化效应存在差异。</w:t>
      </w:r>
    </w:p>
    <w:p w14:paraId="20FA49C8">
      <w:pPr>
        <w:keepLines w:val="0"/>
        <w:pageBreakBefore w:val="0"/>
        <w:kinsoku/>
        <w:wordWrap/>
        <w:overflowPunct/>
        <w:topLinePunct w:val="0"/>
        <w:autoSpaceDN/>
        <w:bidi w:val="0"/>
        <w:spacing w:line="240" w:lineRule="auto"/>
        <w:ind w:left="0" w:leftChars="0"/>
        <w:jc w:val="left"/>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整合上述发现，本研究提出联合干预促进远端手功能恢复的双阶段神经机制模型（详见4.5小节）。该模型的核心逻辑是：联合干预通过“视觉反馈（镜像）+ 本体感觉输入（手套）”的多模态输入，诱导跨半球连接发生选择性精简，使大脑运动网络从损伤初期的“代偿性扩张”状态，逐步过渡到“高效神经编码”状态，从而特异性地促进远端手功能恢复。这一机制可以从神经效率假说[72]的角度加以理解——功能恢复并非简单地伴随脑区激活增强，更重要的是神经环路的信息处理效率提升。本研究中Inter-Hemisphere ΔZ与ΔFMA_distal的显著负相关恰好印证了这一观点：跨半球连接的过度活跃可能反映了代偿性的“无效兴奋”，而联合干预通过多模态输入促进了突触修剪与环路优化，使保留的神经连接能够以更高的信噪比编码精细运动指令。值得注意的是，这种精简效应仅出现在远端功能（而非近端功能）的改善中，这与远端运动对外侧皮质脊髓束直接单突触连接的依赖性相吻合[65,66]——该通路的信息传输效率对突触噪声极为敏感，因此连接精简带来的信噪比提升对其功能恢复尤为关键。</w:t>
      </w:r>
    </w:p>
    <w:p w14:paraId="1683A100">
      <w:pPr>
        <w:keepLines w:val="0"/>
        <w:pageBreakBefore w:val="0"/>
        <w:kinsoku/>
        <w:wordWrap/>
        <w:overflowPunct/>
        <w:topLinePunct w:val="0"/>
        <w:autoSpaceDN/>
        <w:bidi w:val="0"/>
        <w:spacing w:line="240" w:lineRule="auto"/>
        <w:ind w:left="0" w:leftChars="0"/>
        <w:jc w:val="left"/>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局限性</w:t>
      </w:r>
    </w:p>
    <w:p w14:paraId="0A5ED503">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本研究存在以下局限性，需在结果解释时予以审慎考虑。第一，样本量相对有限（80例），虽然析因设计提供了交互效应的初步证据，但亚组分析（如按Brunnstrom分期或损伤部位分层）的统计效力仍显不足，无法充分揭示不同患者亚群对联合干预的差异化响应模式。第二，随访时间较短，本研究仅评估了干预结束后的即刻效果，未设立长期随访节点（如3个月或6个月），因此联合干预的疗效维持效应及神经可塑性改变的持久性尚不明确。第三，fNIRS技术的固有局限，fNIRS仅能探测大脑皮层（深度约2-3 cm）的血氧动力学变化，无法触及皮层下结构（如基底节、丘脑、脑干及小脑）在联合干预中的作用，而这些结构在运动控制和感觉-运动整合中同样扮演关键角色。第四，缺乏主动对照 sham 组，尽管联合组优于常规对照组，但无法完全排除非特异性效应（如额外关注、治疗师接触时间增加等）对结果的贡献。第五，训练内容与日常生活的转移效应有限，本研究的干预聚焦于手部基础运动模式（握拳、伸指），与Barthel指数所评估的复杂日常活动之间存在技能缺口，这可能解释了功能改善与ADL能力提升分离的现象。</w:t>
      </w:r>
      <w:r>
        <w:rPr>
          <w:rFonts w:hint="eastAsia" w:ascii="宋体" w:hAnsi="宋体" w:eastAsia="宋体" w:cs="宋体"/>
          <w:sz w:val="24"/>
          <w:szCs w:val="24"/>
        </w:rPr>
        <w:t xml:space="preserve"> </w:t>
      </w:r>
    </w:p>
    <w:p w14:paraId="731E82FE">
      <w:pPr>
        <w:pStyle w:val="2"/>
        <w:keepNext/>
        <w:keepLines w:val="0"/>
        <w:pageBreakBefore w:val="0"/>
        <w:numPr>
          <w:ilvl w:val="0"/>
          <w:numId w:val="0"/>
        </w:numPr>
        <w:kinsoku/>
        <w:wordWrap/>
        <w:overflowPunct/>
        <w:topLinePunct w:val="0"/>
        <w:autoSpaceDN/>
        <w:bidi w:val="0"/>
        <w:spacing w:line="240" w:lineRule="auto"/>
        <w:ind w:left="0" w:leftChars="0"/>
        <w:jc w:val="left"/>
        <w:rPr>
          <w:rFonts w:hint="eastAsia" w:ascii="宋体" w:hAnsi="宋体" w:eastAsia="宋体" w:cs="宋体"/>
          <w:sz w:val="24"/>
          <w:szCs w:val="24"/>
        </w:rPr>
      </w:pPr>
      <w:bookmarkStart w:id="3" w:name="_Toc93734165"/>
      <w:bookmarkEnd w:id="3"/>
      <w:r>
        <w:rPr>
          <w:rFonts w:hint="eastAsia" w:ascii="宋体" w:hAnsi="宋体" w:eastAsia="宋体" w:cs="宋体"/>
          <w:sz w:val="24"/>
          <w:szCs w:val="24"/>
        </w:rPr>
        <w:t>结论与展望</w:t>
      </w:r>
    </w:p>
    <w:p w14:paraId="7FD53A71">
      <w:pPr>
        <w:pStyle w:val="10"/>
        <w:keepNext w:val="0"/>
        <w:keepLines w:val="0"/>
        <w:pageBreakBefore w:val="0"/>
        <w:widowControl/>
        <w:suppressLineNumbers w:val="0"/>
        <w:shd w:val="clear" w:fill="FFFFFF"/>
        <w:kinsoku/>
        <w:wordWrap/>
        <w:overflowPunct/>
        <w:topLinePunct w:val="0"/>
        <w:autoSpaceDN/>
        <w:bidi w:val="0"/>
        <w:spacing w:before="192" w:beforeAutospacing="0" w:after="192" w:afterAutospacing="0" w:line="240" w:lineRule="auto"/>
        <w:ind w:left="0" w:leftChars="0" w:right="0" w:firstLine="0"/>
        <w:jc w:val="left"/>
        <w:rPr>
          <w:rFonts w:hint="eastAsia" w:ascii="宋体" w:hAnsi="宋体" w:eastAsia="宋体" w:cs="宋体"/>
          <w:i w:val="0"/>
          <w:iCs w:val="0"/>
          <w:caps w:val="0"/>
          <w:color w:val="0F1115"/>
          <w:spacing w:val="0"/>
          <w:sz w:val="24"/>
          <w:szCs w:val="24"/>
        </w:rPr>
      </w:pPr>
      <w:bookmarkStart w:id="4" w:name="_Toc93734166"/>
      <w:bookmarkEnd w:id="4"/>
      <w:r>
        <w:rPr>
          <w:rFonts w:hint="eastAsia" w:ascii="宋体" w:hAnsi="宋体" w:eastAsia="宋体" w:cs="宋体"/>
          <w:i w:val="0"/>
          <w:iCs w:val="0"/>
          <w:caps w:val="0"/>
          <w:color w:val="0F1115"/>
          <w:spacing w:val="0"/>
          <w:sz w:val="24"/>
          <w:szCs w:val="24"/>
          <w:shd w:val="clear" w:fill="FFFFFF"/>
        </w:rPr>
        <w:t>基于上述发现与局限性，未来研究可从以下方向深入拓展。在机制解析层面，建议结合高密度脑电（EEG）与fNIRS同步采集技术，以毫秒级时间分辨率追踪跨半球连接精简的动态过程，并结合经颅磁刺激（TMS）测量的皮质脊髓束传导时间（中枢运动传导时间），验证“连接精简 → 传导效率提升 → 远端功能改善”的因果链条。在技术优化层面，建议研发基于脑机接口（BCI）的自适应闭环康复系统——通过实时解码运动意图（EEG-ERD/ERS）驱动IPG提供精准力反馈，形成“意图解码-动作生成-误差修正”的动态调控模型[36]，以实现真正个性化的多模态干预。在临床应用层面，应开展大样本、多中心、长随访的随机对照试验，并基于机器学习算法整合行为学、神经电生理及神经影像学等多维特征，构建疗效预测模型以精准识别联合干预的适宜人群（如根据损伤部位、基线半球间平衡状态等生物标志物分层）。此外，针对功能改善与ADL提升的分离现象，后续干预方案应在精细运动训练基础上，增加任务导向性的日常生活活动模拟训练（如拧毛巾、扣纽扣、使用餐具等），以促进功能增益向真实生活场景的有效转化。</w:t>
      </w:r>
    </w:p>
    <w:p w14:paraId="2D884C83">
      <w:pPr>
        <w:pStyle w:val="10"/>
        <w:keepNext w:val="0"/>
        <w:keepLines w:val="0"/>
        <w:pageBreakBefore w:val="0"/>
        <w:widowControl/>
        <w:suppressLineNumbers w:val="0"/>
        <w:shd w:val="clear" w:fill="FFFFFF"/>
        <w:kinsoku/>
        <w:wordWrap/>
        <w:overflowPunct/>
        <w:topLinePunct w:val="0"/>
        <w:autoSpaceDN/>
        <w:bidi w:val="0"/>
        <w:spacing w:before="192" w:beforeAutospacing="0" w:after="0" w:afterAutospacing="0" w:line="240" w:lineRule="auto"/>
        <w:ind w:left="0" w:leftChars="0" w:right="0" w:firstLine="0"/>
        <w:jc w:val="left"/>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综上所述，本研究证实了镜像疗法联合智能气动式柔性手套对脑卒中后手功能障碍的协同康复效应，并首次从跨半球连接精简的角度揭示了其促进远端功能恢复的特异性神经机制。这一发现不仅为“中枢-外周-中枢”闭环康复理论[34]提供了直接的神经影像学证据，也为精准神经康复方案的制定与智能康复系统的研发奠定了理论依据与实践基础。</w:t>
      </w:r>
    </w:p>
    <w:p w14:paraId="1B58F73E">
      <w:pPr>
        <w:pStyle w:val="10"/>
        <w:keepNext w:val="0"/>
        <w:keepLines w:val="0"/>
        <w:pageBreakBefore w:val="0"/>
        <w:widowControl/>
        <w:suppressLineNumbers w:val="0"/>
        <w:shd w:val="clear" w:fill="FFFFFF"/>
        <w:kinsoku/>
        <w:wordWrap/>
        <w:overflowPunct/>
        <w:topLinePunct w:val="0"/>
        <w:autoSpaceDN/>
        <w:bidi w:val="0"/>
        <w:spacing w:before="192" w:beforeAutospacing="0" w:after="0" w:afterAutospacing="0" w:line="240" w:lineRule="auto"/>
        <w:ind w:left="0" w:leftChars="0" w:right="0" w:firstLine="0"/>
        <w:jc w:val="left"/>
        <w:rPr>
          <w:rFonts w:hint="eastAsia" w:ascii="宋体" w:hAnsi="宋体" w:eastAsia="宋体" w:cs="宋体"/>
          <w:i w:val="0"/>
          <w:iCs w:val="0"/>
          <w:caps w:val="0"/>
          <w:color w:val="0F1115"/>
          <w:spacing w:val="0"/>
          <w:sz w:val="24"/>
          <w:szCs w:val="24"/>
          <w:shd w:val="clear" w:fill="FFFFFF"/>
        </w:rPr>
      </w:pPr>
    </w:p>
    <w:p w14:paraId="36CC3105">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[1]</w:t>
      </w:r>
      <w:r>
        <w:rPr>
          <w:rFonts w:hint="eastAsia" w:ascii="宋体" w:hAnsi="宋体" w:cs="宋体"/>
          <w:color w:val="000000"/>
          <w:sz w:val="21"/>
          <w:szCs w:val="21"/>
          <w:lang w:val="en-US" w:eastAsia="zh-CN"/>
        </w:rPr>
        <w:t xml:space="preserve"> </w:t>
      </w:r>
      <w:bookmarkStart w:id="5" w:name="_nebEEA81C4B_62E6_4C6F_B20C_A311E09169EB"/>
      <w:r>
        <w:rPr>
          <w:rFonts w:hint="eastAsia" w:ascii="Times New Roman" w:hAnsi="Times New Roman" w:eastAsia="宋体" w:cs="Times New Roman"/>
          <w:sz w:val="21"/>
          <w:szCs w:val="21"/>
        </w:rPr>
        <w:t xml:space="preserve">Collaborators G S. Global, regional, and national burden of stroke and its risk factors, 1990-2019: a systematic analysis for the Global Burden of Disease Study 2019[J]. Lancet Neurol, </w:t>
      </w:r>
      <w:r>
        <w:rPr>
          <w:rFonts w:hint="eastAsia" w:ascii="宋体" w:hAnsi="宋体" w:eastAsia="宋体" w:cs="宋体"/>
          <w:color w:val="000000"/>
          <w:sz w:val="21"/>
          <w:szCs w:val="21"/>
        </w:rPr>
        <w:t>2021,20(10):795-820.</w:t>
      </w:r>
      <w:bookmarkEnd w:id="5"/>
    </w:p>
    <w:p w14:paraId="20189835">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 xml:space="preserve"> [2]</w:t>
      </w:r>
      <w:bookmarkStart w:id="6" w:name="_neb39AA1346_11E8_4D86_9456_B31B3DFB964C"/>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 xml:space="preserve">Jang H, Park S, Kim M S, et al. Global, regional and national burden of alopecia areata and its associated diseases, 1990-2019: A systematic analysis of the Global Burden of Disease Study 2019[J]. Eur J Clin Invest, </w:t>
      </w:r>
      <w:r>
        <w:rPr>
          <w:rFonts w:hint="eastAsia" w:ascii="宋体" w:hAnsi="宋体" w:eastAsia="宋体" w:cs="宋体"/>
          <w:color w:val="000000"/>
          <w:sz w:val="21"/>
          <w:szCs w:val="21"/>
        </w:rPr>
        <w:t>2023,53(6):e13958.</w:t>
      </w:r>
      <w:bookmarkEnd w:id="6"/>
    </w:p>
    <w:p w14:paraId="22E65EDB">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 xml:space="preserve"> [3]</w:t>
      </w:r>
      <w:bookmarkStart w:id="7" w:name="_neb451F3900_0EA1_4E73_A789_ABCF49A11A63"/>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崔玉荣, 景蓉, 杨莉, 等. 镜像疗法在脑卒中后功能障碍治疗中的研究进展[</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临床医学进展, 2024,14(1):15-19.</w:t>
      </w:r>
      <w:bookmarkEnd w:id="7"/>
    </w:p>
    <w:p w14:paraId="219F9F80">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 xml:space="preserve"> [4]</w:t>
      </w:r>
      <w:bookmarkStart w:id="8" w:name="_nebD003A741_8643_4E28_A69D_BD3DDD4AC2FE"/>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 xml:space="preserve">Tong Y, Pendy J T J, Li W A, et al. Motor Imagery-Based Rehabilitation: Potential Neural Correlates and Clinical Application for Functional Recovery of Motor Deficits </w:t>
      </w:r>
      <w:r>
        <w:rPr>
          <w:rFonts w:hint="eastAsia" w:ascii="Times New Roman" w:hAnsi="Times New Roman" w:eastAsia="宋体" w:cs="Times New Roman"/>
          <w:color w:val="000000"/>
          <w:sz w:val="21"/>
          <w:szCs w:val="21"/>
        </w:rPr>
        <w:t xml:space="preserve">after </w:t>
      </w:r>
      <w:r>
        <w:rPr>
          <w:rFonts w:hint="eastAsia" w:ascii="Times New Roman" w:hAnsi="Times New Roman" w:eastAsia="宋体" w:cs="Times New Roman"/>
          <w:sz w:val="21"/>
          <w:szCs w:val="21"/>
        </w:rPr>
        <w:t xml:space="preserve">Stroke[J]. Aging Dis, </w:t>
      </w:r>
      <w:r>
        <w:rPr>
          <w:rFonts w:hint="eastAsia" w:ascii="宋体" w:hAnsi="宋体" w:eastAsia="宋体" w:cs="宋体"/>
          <w:color w:val="000000"/>
          <w:sz w:val="21"/>
          <w:szCs w:val="21"/>
        </w:rPr>
        <w:t>2017,8(3):364-371.</w:t>
      </w:r>
      <w:bookmarkEnd w:id="8"/>
    </w:p>
    <w:p w14:paraId="5BEEFACC">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 xml:space="preserve"> [5]</w:t>
      </w:r>
      <w:bookmarkStart w:id="9" w:name="_nebCD9D8592_E05A_491F_9CDB_92A9521828A3"/>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Nogueira N G D H, Parma J O, Leão S E S D, et al. Mirror therapy in upper limb motor recovery and activities of daily living, and its neural correlates in stroke individuals: A systematic review and meta-analysis[J]. Brain Research Bulletin,</w:t>
      </w:r>
      <w:r>
        <w:rPr>
          <w:rFonts w:hint="eastAsia" w:ascii="宋体" w:hAnsi="宋体" w:eastAsia="宋体" w:cs="宋体"/>
          <w:color w:val="000000"/>
          <w:sz w:val="21"/>
          <w:szCs w:val="21"/>
        </w:rPr>
        <w:t xml:space="preserve"> 2021,177:217-238.</w:t>
      </w:r>
      <w:bookmarkEnd w:id="9"/>
    </w:p>
    <w:p w14:paraId="1858CC7D">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 xml:space="preserve"> [6]</w:t>
      </w:r>
      <w:bookmarkStart w:id="10" w:name="_nebEB30DFAC_D960_479A_9DFE_F87664A73E7B"/>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 xml:space="preserve">Winstein C J, Stein J, Arena R, et al. Guidelines for Adult Stroke Rehabilitation and Recovery: A Guideline for Healthcare Professionals From the American Heart Association/American Stroke Association[J]. Stroke, </w:t>
      </w:r>
      <w:r>
        <w:rPr>
          <w:rFonts w:hint="eastAsia" w:ascii="宋体" w:hAnsi="宋体" w:eastAsia="宋体" w:cs="宋体"/>
          <w:color w:val="000000"/>
          <w:sz w:val="21"/>
          <w:szCs w:val="21"/>
        </w:rPr>
        <w:t>2016,47(6):e98-e169.</w:t>
      </w:r>
      <w:bookmarkEnd w:id="10"/>
    </w:p>
    <w:p w14:paraId="214FBD4A">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 xml:space="preserve"> [7]</w:t>
      </w:r>
      <w:bookmarkStart w:id="11" w:name="_neb40060FF4_B2A3_44A3_AE41_D07C590905CE"/>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 xml:space="preserve">Kwakkel G, Van Wegen E, Burridge J H, et al. Standardized measurement of quality of upper limb movement after stroke: Consensus-based core recommendations from the Second Stroke Recovery and Rehabilitation Roundtable[J]. Int J Stroke, </w:t>
      </w:r>
      <w:r>
        <w:rPr>
          <w:rFonts w:hint="eastAsia" w:ascii="宋体" w:hAnsi="宋体" w:eastAsia="宋体" w:cs="宋体"/>
          <w:color w:val="000000"/>
          <w:sz w:val="21"/>
          <w:szCs w:val="21"/>
        </w:rPr>
        <w:t>2019,14(8):783-791.</w:t>
      </w:r>
      <w:bookmarkEnd w:id="11"/>
    </w:p>
    <w:p w14:paraId="092B89F8">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 xml:space="preserve"> [8]</w:t>
      </w:r>
      <w:bookmarkStart w:id="12" w:name="_nebD670EDEA_2AFE_44B1_9D4D_3A71E61DA659"/>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丁力, 贾杰. 镜像视觉反馈促进脑卒中后手与上肢运动功能康复的机制研究进展[</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中国康复医学杂志, 2021,36(06):752-756.</w:t>
      </w:r>
      <w:bookmarkEnd w:id="12"/>
    </w:p>
    <w:p w14:paraId="64A7DDF6">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 xml:space="preserve"> [9]</w:t>
      </w:r>
      <w:bookmarkStart w:id="13" w:name="_neb97E8001D_B71D_4E3E_97CF_9C6F21BD5935"/>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Altschuler E L, Wisdom S B, Stone L, et al. Rehabilitation of hemiparesis after stroke with a mirror[J]. Lancet,</w:t>
      </w:r>
      <w:r>
        <w:rPr>
          <w:rFonts w:hint="eastAsia" w:ascii="宋体" w:hAnsi="宋体" w:eastAsia="宋体" w:cs="宋体"/>
          <w:color w:val="000000"/>
          <w:sz w:val="21"/>
          <w:szCs w:val="21"/>
        </w:rPr>
        <w:t xml:space="preserve"> 1999,353(9169):2035-2036.</w:t>
      </w:r>
      <w:bookmarkEnd w:id="13"/>
    </w:p>
    <w:p w14:paraId="3A33B378">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[10]</w:t>
      </w:r>
      <w:bookmarkStart w:id="14" w:name="_neb2FBAB1C6_899C_4CA3_9F36_C163B2A068F1"/>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Garry M I, Loftus A, Summers J J. Mirror, mirror on the wall: viewing a mirror reflection of unilateral hand movements facilitates ipsilateral M1 excitability[J]. Exp Brain Res,</w:t>
      </w:r>
      <w:r>
        <w:rPr>
          <w:rFonts w:hint="eastAsia" w:ascii="宋体" w:hAnsi="宋体" w:eastAsia="宋体" w:cs="宋体"/>
          <w:color w:val="000000"/>
          <w:sz w:val="21"/>
          <w:szCs w:val="21"/>
        </w:rPr>
        <w:t xml:space="preserve"> 2005,163(1):118-122.</w:t>
      </w:r>
      <w:bookmarkEnd w:id="14"/>
    </w:p>
    <w:p w14:paraId="2F5C1975">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[11]</w:t>
      </w:r>
      <w:bookmarkStart w:id="15" w:name="_nebE98E9EAC_DA07_4A9F_9181_204F82CC4699"/>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 xml:space="preserve">Thieme H, Mehrholz J, Pohl M, et al. Mirror therapy for improving motor function after stroke[J]. Cochrane Database Syst Rev, </w:t>
      </w:r>
      <w:r>
        <w:rPr>
          <w:rFonts w:hint="eastAsia" w:ascii="宋体" w:hAnsi="宋体" w:eastAsia="宋体" w:cs="宋体"/>
          <w:color w:val="000000"/>
          <w:sz w:val="21"/>
          <w:szCs w:val="21"/>
        </w:rPr>
        <w:t>2012,2012(3):CD8449.</w:t>
      </w:r>
      <w:bookmarkEnd w:id="15"/>
    </w:p>
    <w:p w14:paraId="0BE4037D">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[12]</w:t>
      </w:r>
      <w:bookmarkStart w:id="16" w:name="_nebDA650C09_3326_414E_A7A4_29964960DE9B"/>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沈芳, 王晶, 曾明. 镜像疗法在脑卒中偏瘫患者上肢运动功能康复中应用的研究进展[</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中国康复医学杂志, 2016,31(5):590-593.</w:t>
      </w:r>
      <w:bookmarkEnd w:id="16"/>
    </w:p>
    <w:p w14:paraId="20726106">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[13]</w:t>
      </w:r>
      <w:bookmarkStart w:id="17" w:name="_nebD725BE3A_F881_4623_97B8_81453C69BD26"/>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 xml:space="preserve">Garrison K A, Winstein C J, Aziz-Zadeh L. The mirror neuron system: a neural substrate for methods in stroke rehabilitation[J]. Neurorehabil Neural Repair, </w:t>
      </w:r>
      <w:r>
        <w:rPr>
          <w:rFonts w:hint="eastAsia" w:ascii="宋体" w:hAnsi="宋体" w:eastAsia="宋体" w:cs="宋体"/>
          <w:color w:val="000000"/>
          <w:sz w:val="21"/>
          <w:szCs w:val="21"/>
        </w:rPr>
        <w:t>2010,24(5):404-412.</w:t>
      </w:r>
      <w:bookmarkEnd w:id="17"/>
    </w:p>
    <w:p w14:paraId="64E0A47F">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[14]</w:t>
      </w:r>
      <w:bookmarkStart w:id="18" w:name="_nebAA20A58C_046D_4FE9_AE14_9A8319B334EA"/>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Mao H, Li Y, Tang L, et al. Effects of mirror neuron system-based training on rehabilitation of stroke patients[J]. Brain Behav,</w:t>
      </w:r>
      <w:r>
        <w:rPr>
          <w:rFonts w:hint="eastAsia" w:ascii="宋体" w:hAnsi="宋体" w:eastAsia="宋体" w:cs="宋体"/>
          <w:color w:val="000000"/>
          <w:sz w:val="21"/>
          <w:szCs w:val="21"/>
        </w:rPr>
        <w:t xml:space="preserve"> 2020,10(8):e1729.</w:t>
      </w:r>
      <w:bookmarkEnd w:id="18"/>
    </w:p>
    <w:p w14:paraId="65230341">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[15]</w:t>
      </w:r>
      <w:bookmarkStart w:id="19" w:name="_nebCBCCDB54_4A87_4A16_9AC3_C5A21F4FC74A"/>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 xml:space="preserve">Zhang J J Q, Fong K N K, Welage N, et al. The Activation of the Mirror Neuron System during Action Observation and Action Execution with Mirror Visual Feedback in Stroke: A Systematic Review[J]. Neural Plast, </w:t>
      </w:r>
      <w:r>
        <w:rPr>
          <w:rFonts w:hint="eastAsia" w:ascii="宋体" w:hAnsi="宋体" w:eastAsia="宋体" w:cs="宋体"/>
          <w:color w:val="000000"/>
          <w:sz w:val="21"/>
          <w:szCs w:val="21"/>
        </w:rPr>
        <w:t>2018,2018:2321045.</w:t>
      </w:r>
      <w:bookmarkEnd w:id="19"/>
    </w:p>
    <w:p w14:paraId="6D4E6D3D">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[16]</w:t>
      </w:r>
      <w:bookmarkStart w:id="20" w:name="_nebE77B831F_EE58_4B6D_A06B_728143EBBD36"/>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Cattaneo L, Rizzolatti G. The mirror neuron system[J]. Arch Neurol,</w:t>
      </w:r>
      <w:r>
        <w:rPr>
          <w:rFonts w:hint="eastAsia" w:ascii="宋体" w:hAnsi="宋体" w:eastAsia="宋体" w:cs="宋体"/>
          <w:color w:val="000000"/>
          <w:sz w:val="21"/>
          <w:szCs w:val="21"/>
        </w:rPr>
        <w:t xml:space="preserve"> 2009,66(5):557-560.</w:t>
      </w:r>
      <w:bookmarkEnd w:id="20"/>
    </w:p>
    <w:p w14:paraId="1F2A30AD">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[17]</w:t>
      </w:r>
      <w:bookmarkStart w:id="21" w:name="_nebB1349102_4B9B_4F38_947D_616628C642A1"/>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Zhuang J Y, Ding L, Shu B B, et al. Associated Mirror Therapy Enhances Motor Recovery of the Upper Extremity and Daily Function after Stroke: A Randomized Control Study[J]. Neural Plasticity,</w:t>
      </w:r>
      <w:r>
        <w:rPr>
          <w:rFonts w:hint="eastAsia" w:ascii="宋体" w:hAnsi="宋体" w:eastAsia="宋体" w:cs="宋体"/>
          <w:color w:val="000000"/>
          <w:sz w:val="21"/>
          <w:szCs w:val="21"/>
        </w:rPr>
        <w:t xml:space="preserve"> 2021,2021.</w:t>
      </w:r>
      <w:bookmarkEnd w:id="21"/>
    </w:p>
    <w:p w14:paraId="1F0DF848">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[18]</w:t>
      </w:r>
      <w:bookmarkStart w:id="22" w:name="_nebD8028B44_E922_443E_8707_F61E90578217"/>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 xml:space="preserve">Zhang K, Ding L, Wang X, et al. Evidence of mirror therapy for recruitment of ipsilateral motor pathways in stroke recovery: A resting fMRI study[J]. Neurotherapeutics, </w:t>
      </w:r>
      <w:r>
        <w:rPr>
          <w:rFonts w:hint="eastAsia" w:ascii="宋体" w:hAnsi="宋体" w:eastAsia="宋体" w:cs="宋体"/>
          <w:color w:val="000000"/>
          <w:sz w:val="21"/>
          <w:szCs w:val="21"/>
        </w:rPr>
        <w:t>2024,21(2):e320.</w:t>
      </w:r>
      <w:bookmarkEnd w:id="22"/>
    </w:p>
    <w:p w14:paraId="01B32F4A">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[19]</w:t>
      </w:r>
      <w:bookmarkStart w:id="23" w:name="_nebA616C0AC_4707_4AC9_8E6C_CDB54BB229A1"/>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程迎, 高晓平, 陈和木, 等. 手部外骨骼机器人辅助双侧对称性训练与镜像疗法对偏瘫患者手功能的康复效果比较[</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安徽医学, 2019,40(12):1319-1322.</w:t>
      </w:r>
      <w:bookmarkEnd w:id="23"/>
    </w:p>
    <w:p w14:paraId="0F856442">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[20]</w:t>
      </w:r>
      <w:bookmarkStart w:id="24" w:name="_neb2781651B_4679_46E3_B4FA_276A870FF1DF"/>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Lee H, Li P, Fan S. Delayed mirror visual feedback presented using a novel mirror therapy system enhances cortical activation in healthy adults[J]. J Neuroeng Rehabil,</w:t>
      </w:r>
      <w:r>
        <w:rPr>
          <w:rFonts w:hint="eastAsia" w:ascii="宋体" w:hAnsi="宋体" w:eastAsia="宋体" w:cs="宋体"/>
          <w:color w:val="000000"/>
          <w:sz w:val="21"/>
          <w:szCs w:val="21"/>
        </w:rPr>
        <w:t xml:space="preserve"> 2015,12:56.</w:t>
      </w:r>
      <w:bookmarkEnd w:id="24"/>
    </w:p>
    <w:p w14:paraId="58CA6C19">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[21]</w:t>
      </w:r>
      <w:bookmarkStart w:id="25" w:name="_neb01F41151_AA33_40BF_A9BE_76FEEE2A83E8"/>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 xml:space="preserve">Thieme H, Morkisch N, Mehrholz J, et al. Mirror therapy for improving motor function after stroke[J]. Cochrane Database Syst Rev, </w:t>
      </w:r>
      <w:r>
        <w:rPr>
          <w:rFonts w:hint="eastAsia" w:ascii="宋体" w:hAnsi="宋体" w:eastAsia="宋体" w:cs="宋体"/>
          <w:color w:val="000000"/>
          <w:sz w:val="21"/>
          <w:szCs w:val="21"/>
        </w:rPr>
        <w:t>2018,7(7):CD8449.</w:t>
      </w:r>
      <w:bookmarkEnd w:id="25"/>
    </w:p>
    <w:p w14:paraId="3E86B93D">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[22]</w:t>
      </w:r>
      <w:bookmarkStart w:id="26" w:name="_nebC01F4D87_9F44_4968_99C2_EBE67E41C184"/>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Harmsen W J, Bussmann J B J, Selles R W, et al. A Mirror Therapy-Based Action Observation Protocol to Improve Motor Learning After Stroke[J]. Neurorehabil Neural Repair,</w:t>
      </w:r>
      <w:r>
        <w:rPr>
          <w:rFonts w:hint="eastAsia" w:ascii="宋体" w:hAnsi="宋体" w:eastAsia="宋体" w:cs="宋体"/>
          <w:color w:val="000000"/>
          <w:sz w:val="21"/>
          <w:szCs w:val="21"/>
        </w:rPr>
        <w:t xml:space="preserve"> 2015,29(6):509-516.</w:t>
      </w:r>
      <w:bookmarkEnd w:id="26"/>
    </w:p>
    <w:p w14:paraId="6991DF02">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[23]</w:t>
      </w:r>
      <w:bookmarkStart w:id="27" w:name="_neb67319DE9_0DF6_4283_B8EE_0CC2830EAF87"/>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孙凤宝, 章晓峰, 刘勇, 等. 多模态镜像疗法对脑卒中患者上肢及手功能的效果[</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中国康复理论与实践, 2023,29(1):77-81.</w:t>
      </w:r>
      <w:bookmarkEnd w:id="27"/>
    </w:p>
    <w:p w14:paraId="7982A6BA">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[24]</w:t>
      </w:r>
      <w:bookmarkStart w:id="28" w:name="_neb9484DA86_3C0A_4A95_83A9_621227C4F15F"/>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荣积峰, 丁力, 张雯, 等. 康复机器人结合镜像疗法对脑卒中偏瘫患者上肢功能的效果[J]. 中国康复理论与实践, 2019,25(06):709-713.</w:t>
      </w:r>
      <w:bookmarkEnd w:id="28"/>
    </w:p>
    <w:p w14:paraId="67C6236C">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[25]</w:t>
      </w:r>
      <w:bookmarkStart w:id="29" w:name="_neb40F25A4A_3BE2_4404_A660_0127BEBB0335"/>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丁力, 荣积峰, 崔晓, 等. 基于“闭环康复”的数字化镜像疗法对脑卒中患者上肢功能恢复的影响[</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华西医学, 2018,33(10):1232-1237.</w:t>
      </w:r>
      <w:bookmarkEnd w:id="29"/>
    </w:p>
    <w:p w14:paraId="44161D71">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[26]</w:t>
      </w:r>
      <w:bookmarkStart w:id="30" w:name="_neb3A5F56FA_23EA_4FFB_BBD4_A7AF922BA632"/>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 xml:space="preserve">Laver K E, Lange B, George S, et al. Virtual reality for stroke rehabilitation[J]. Cochrane Database Syst Rev, </w:t>
      </w:r>
      <w:r>
        <w:rPr>
          <w:rFonts w:hint="eastAsia" w:ascii="宋体" w:hAnsi="宋体" w:eastAsia="宋体" w:cs="宋体"/>
          <w:color w:val="000000"/>
          <w:sz w:val="21"/>
          <w:szCs w:val="21"/>
        </w:rPr>
        <w:t>2017,11(11):CD8349.</w:t>
      </w:r>
      <w:bookmarkEnd w:id="30"/>
    </w:p>
    <w:p w14:paraId="36DD69C3">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[27]</w:t>
      </w:r>
      <w:bookmarkStart w:id="31" w:name="_neb190A2058_B179_46E1_B999_0140DC9E34AF"/>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庄金阳, 贾杰. 镜像疗法治疗脑卒中后感觉功能障碍的研究现状[</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中华物理医学与康复杂志, 2021,43(4):371-374.</w:t>
      </w:r>
      <w:bookmarkEnd w:id="31"/>
    </w:p>
    <w:p w14:paraId="17DE63B1">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[28]</w:t>
      </w:r>
      <w:bookmarkStart w:id="32" w:name="_neb29C8E5F5_9CF6_4E79_9AF9_A8B77CC1BB8B"/>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黄依杰, 李涓, 刘丹阳, 等. 近20年镜像疗法相关研究的可视化分析[</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中国康复理论与实践, 2019,25(12):1444-1449.</w:t>
      </w:r>
      <w:bookmarkEnd w:id="32"/>
    </w:p>
    <w:p w14:paraId="785EE7B7">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[29]</w:t>
      </w:r>
      <w:bookmarkStart w:id="33" w:name="_nebE0DCEC3C_DDE9_4939_9AA7_669776A35253"/>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Luo Z, Zhou Y, He H, et al. Synergistic Effect of Combined Mirror Therapy on Upper Extremity in Patients With Stroke: A Systematic Review and Meta-Analysis[J]. Front Neurol,</w:t>
      </w:r>
      <w:r>
        <w:rPr>
          <w:rFonts w:hint="eastAsia" w:ascii="宋体" w:hAnsi="宋体" w:eastAsia="宋体" w:cs="宋体"/>
          <w:color w:val="000000"/>
          <w:sz w:val="21"/>
          <w:szCs w:val="21"/>
        </w:rPr>
        <w:t xml:space="preserve"> 2020,11:155.</w:t>
      </w:r>
      <w:bookmarkEnd w:id="33"/>
    </w:p>
    <w:p w14:paraId="34CACD58">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[30]</w:t>
      </w:r>
      <w:bookmarkStart w:id="34" w:name="_nebA4C2126F_01DF_47CC_9EE5_27EB3970EA61"/>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 xml:space="preserve">Gandhi D B, Sterba A, Khatter H, et al. Mirror Therapy in Stroke Rehabilitation: Current Perspectives[J]. Ther Clin Risk Manag, </w:t>
      </w:r>
      <w:r>
        <w:rPr>
          <w:rFonts w:hint="eastAsia" w:ascii="宋体" w:hAnsi="宋体" w:eastAsia="宋体" w:cs="宋体"/>
          <w:color w:val="000000"/>
          <w:sz w:val="21"/>
          <w:szCs w:val="21"/>
        </w:rPr>
        <w:t>2020,16:75-85.</w:t>
      </w:r>
      <w:bookmarkEnd w:id="34"/>
    </w:p>
    <w:p w14:paraId="577F509E">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[31]</w:t>
      </w:r>
      <w:bookmarkStart w:id="35" w:name="_neb55FD8972_3932_48A0_A778_4068F6D784DE"/>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宋宇锦, 张伟, 温红娟, 等. 镜像神经元疗法治疗中风后复杂性区域疼痛综合征Ⅰ期的疗效及对血清SP、CGRP水平的影响[</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广东医学, 2024,45(9):1137-1142.</w:t>
      </w:r>
      <w:bookmarkEnd w:id="35"/>
    </w:p>
    <w:p w14:paraId="5DFD5BE8">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[32]</w:t>
      </w:r>
      <w:bookmarkStart w:id="36" w:name="_nebAE6BD14A_6AD2_48B3_8829_D86035789EA0"/>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 xml:space="preserve">Lee Y, Li Y, Lin K, et al. Effects of robotic priming of bilateral arm training, mirror therapy, and impairment-oriented training on sensorimotor and daily functions in patients with chronic stroke: study protocol of a single-blind, randomized controlled trial[J]. Trials, </w:t>
      </w:r>
      <w:r>
        <w:rPr>
          <w:rFonts w:hint="eastAsia" w:ascii="宋体" w:hAnsi="宋体" w:eastAsia="宋体" w:cs="宋体"/>
          <w:color w:val="000000"/>
          <w:sz w:val="21"/>
          <w:szCs w:val="21"/>
        </w:rPr>
        <w:t>2022,23(1):566.</w:t>
      </w:r>
      <w:bookmarkEnd w:id="36"/>
    </w:p>
    <w:p w14:paraId="1A71891F">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[33]</w:t>
      </w:r>
      <w:bookmarkStart w:id="37" w:name="_neb79E18FB4_312E_45DB_9A1C_1C5847EE41F2"/>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徐奕鹏, 侯甜, 赵文君, 等. 动态电动起立床训练对健康人脑干听觉诱发电位的影响[</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中华物理医学与康复杂志, 2018,40(12):928-931.</w:t>
      </w:r>
      <w:bookmarkEnd w:id="37"/>
    </w:p>
    <w:p w14:paraId="523B79B0">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[34]</w:t>
      </w:r>
      <w:bookmarkStart w:id="38" w:name="_neb37030A2C_F241_437E_BF33_0777B144C1A8"/>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徐硕, 贾杰. “中枢-外周-中枢”闭环康复——脑卒中后手功能康复新理念的临床应用进展[</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中国康复医学杂志, 2024,39(10):1537-1541.</w:t>
      </w:r>
      <w:bookmarkEnd w:id="38"/>
    </w:p>
    <w:p w14:paraId="4A7D8957">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[35]</w:t>
      </w:r>
      <w:bookmarkStart w:id="39" w:name="_neb3A9580CA_85AA_42F1_AD69_E4F82AD6FC25"/>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Bardella G, Giuffrida V, Giarrocco F, et al. Response inhibition in premotor cortex corresponds to a complex reshuffle of the mesoscopic information network[J]. Netw Neurosci,</w:t>
      </w:r>
      <w:r>
        <w:rPr>
          <w:rFonts w:hint="eastAsia" w:ascii="宋体" w:hAnsi="宋体" w:eastAsia="宋体" w:cs="宋体"/>
          <w:color w:val="000000"/>
          <w:sz w:val="21"/>
          <w:szCs w:val="21"/>
        </w:rPr>
        <w:t xml:space="preserve"> 2024,8(2):597-622.</w:t>
      </w:r>
      <w:bookmarkEnd w:id="39"/>
    </w:p>
    <w:p w14:paraId="734F14EE">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[36]</w:t>
      </w:r>
      <w:bookmarkStart w:id="40" w:name="_neb3799B7E1_4380_48C9_90F1_165D622F6F8D"/>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高诺, 陈鹏程. 基于脑机接口与虚拟现实技术的手部软康复系统研究[</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生物医学工程研究, 2022,41(1):32-40.</w:t>
      </w:r>
      <w:bookmarkEnd w:id="40"/>
    </w:p>
    <w:p w14:paraId="594810E0">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[37]</w:t>
      </w:r>
      <w:bookmarkStart w:id="41" w:name="_nebB8CD41EE_D035_49BD_A57D_14129F9A75F5"/>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胡鸿, 段慧云, 金玉鑫. 偏瘫老人上肢功能延续性康复服务模式研究[</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包装工程, 2022,43(4):217-227.</w:t>
      </w:r>
      <w:bookmarkEnd w:id="41"/>
    </w:p>
    <w:p w14:paraId="3979A3AB">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[38]</w:t>
      </w:r>
      <w:bookmarkStart w:id="42" w:name="_neb4526DA7C_420C_4A0D_8DC5_6A66E6CE909B"/>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Ferrari M, Quaresima V. A brief review on the history of human functional near-infrared spectroscopy (fNIRS) development and fields of application[J]. Neuroimage,</w:t>
      </w:r>
      <w:r>
        <w:rPr>
          <w:rFonts w:hint="eastAsia" w:ascii="宋体" w:hAnsi="宋体" w:eastAsia="宋体" w:cs="宋体"/>
          <w:color w:val="000000"/>
          <w:sz w:val="21"/>
          <w:szCs w:val="21"/>
        </w:rPr>
        <w:t xml:space="preserve"> 2012,63(2):921-935.</w:t>
      </w:r>
      <w:bookmarkEnd w:id="42"/>
    </w:p>
    <w:p w14:paraId="334E3241">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[39]</w:t>
      </w:r>
      <w:bookmarkStart w:id="43" w:name="_nebF879236B_3E1E_402A_AC0F_B9385FAEDEDF"/>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 xml:space="preserve">Rea M, Rana M, Lugato N, et al. Lower Limb Movement Preparation in Chronic Stroke: A Pilot Study Toward an fNIRS-BCI for Gait Rehabilitation[J]. Neurorehabil Neural Repair, </w:t>
      </w:r>
      <w:r>
        <w:rPr>
          <w:rFonts w:hint="eastAsia" w:ascii="宋体" w:hAnsi="宋体" w:eastAsia="宋体" w:cs="宋体"/>
          <w:color w:val="000000"/>
          <w:sz w:val="21"/>
          <w:szCs w:val="21"/>
        </w:rPr>
        <w:t>2014,28(6):564-575.</w:t>
      </w:r>
      <w:bookmarkEnd w:id="43"/>
    </w:p>
    <w:p w14:paraId="6B7EDE00">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[40]</w:t>
      </w:r>
      <w:bookmarkStart w:id="44" w:name="_nebB194CF31_888E_46DF_B9F8_FD9BD3FF4685"/>
      <w:r>
        <w:rPr>
          <w:rFonts w:hint="eastAsia" w:ascii="宋体" w:hAnsi="宋体" w:cs="宋体"/>
          <w:color w:val="000000"/>
          <w:sz w:val="21"/>
          <w:szCs w:val="21"/>
          <w:lang w:val="en-US" w:eastAsia="zh-CN"/>
        </w:rPr>
        <w:t xml:space="preserve"> </w:t>
      </w:r>
      <w:r>
        <w:rPr>
          <w:rFonts w:hint="eastAsia" w:ascii="Times New Roman" w:hAnsi="Times New Roman" w:eastAsia="宋体" w:cs="Times New Roman"/>
          <w:sz w:val="21"/>
          <w:szCs w:val="21"/>
        </w:rPr>
        <w:t xml:space="preserve">Huo C, Xu G, Li W, et al. A review on functional near-infrared spectroscopy and application in stroke rehabilitation[J]. Medicine in Novel Technology and Devices, </w:t>
      </w:r>
      <w:r>
        <w:rPr>
          <w:rFonts w:hint="eastAsia" w:ascii="宋体" w:hAnsi="宋体" w:eastAsia="宋体" w:cs="宋体"/>
          <w:color w:val="000000"/>
          <w:sz w:val="21"/>
          <w:szCs w:val="21"/>
        </w:rPr>
        <w:t>2021,11:100064.</w:t>
      </w:r>
      <w:bookmarkEnd w:id="44"/>
    </w:p>
    <w:p w14:paraId="5E8AF343">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[41]</w:t>
      </w:r>
      <w:bookmarkStart w:id="45" w:name="_neb85AE1E7C_EB23_4FE8_9743_6239E556898D"/>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王磊, 邱玲, 彭金林, 等. 镜像疗法结合上肢双侧运动训练治疗脑卒中后肩手综合征的临床疗效观察[</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中华物理医学与康复杂志, 2020,42(6):533-535.</w:t>
      </w:r>
      <w:bookmarkEnd w:id="45"/>
    </w:p>
    <w:p w14:paraId="20737E61">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[42]</w:t>
      </w:r>
      <w:bookmarkStart w:id="46" w:name="_neb54DAE55F_FB0E_4545_B832_E774CBB77CA2"/>
      <w:r>
        <w:rPr>
          <w:rFonts w:hint="eastAsia" w:ascii="宋体" w:hAnsi="宋体" w:cs="宋体"/>
          <w:color w:val="000000"/>
          <w:sz w:val="21"/>
          <w:szCs w:val="21"/>
          <w:lang w:val="en-US" w:eastAsia="zh-CN"/>
        </w:rPr>
        <w:t xml:space="preserve"> </w:t>
      </w:r>
      <w:r>
        <w:rPr>
          <w:rFonts w:hint="default" w:ascii="Times New Roman" w:hAnsi="Times New Roman" w:eastAsia="宋体" w:cs="Times New Roman"/>
          <w:sz w:val="21"/>
          <w:szCs w:val="21"/>
        </w:rPr>
        <w:t xml:space="preserve">Wen X, Li L, Li X, et al. Therapeutic Role of Additional Mirror Therapy on the Recovery of Upper Extremity Motor Function after Stroke: A Single-Blind, Randomized Controlled Trial[J]. Neural Plast, </w:t>
      </w:r>
      <w:r>
        <w:rPr>
          <w:rFonts w:hint="eastAsia" w:ascii="宋体" w:hAnsi="宋体" w:eastAsia="宋体" w:cs="宋体"/>
          <w:color w:val="000000"/>
          <w:sz w:val="21"/>
          <w:szCs w:val="21"/>
        </w:rPr>
        <w:t>2022,2022:8966920.</w:t>
      </w:r>
      <w:bookmarkEnd w:id="46"/>
    </w:p>
    <w:p w14:paraId="14D87FD9">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[43]</w:t>
      </w:r>
      <w:bookmarkStart w:id="47" w:name="_nebD732DAD7_804A_403A_A52D_4E7C90186A6B"/>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Cheng S W M, McKeough Z J, McNamara R J, et al. Pulmonary Rehabilitation Using Minimal Equipment for People With Chronic Obstructive Pulmonary Disease: A Systematic Review and Meta-Analysis[J]. PHYSICAL THERAPY, </w:t>
      </w:r>
      <w:r>
        <w:rPr>
          <w:rFonts w:hint="eastAsia" w:ascii="宋体" w:hAnsi="宋体" w:eastAsia="宋体" w:cs="宋体"/>
          <w:color w:val="000000"/>
          <w:sz w:val="21"/>
          <w:szCs w:val="21"/>
        </w:rPr>
        <w:t>2023,103(5):11.</w:t>
      </w:r>
      <w:bookmarkEnd w:id="47"/>
    </w:p>
    <w:p w14:paraId="0C4A079E">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[44]</w:t>
      </w:r>
      <w:bookmarkStart w:id="48" w:name="_neb78AA3E00_17E0_47FE_8F16_C4604277D108"/>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顾赛勇, 邵圣茜, 杨煜. 康复机器人手套结合镜像疗法对脑卒中偏瘫患者上肢运动及手功能的影响[</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中外医疗, 2023,42(09):9-13.</w:t>
      </w:r>
      <w:bookmarkEnd w:id="48"/>
    </w:p>
    <w:p w14:paraId="4690FB05">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[45]</w:t>
      </w:r>
      <w:bookmarkStart w:id="49" w:name="_neb540CFE6B_C557_4B2F_A3F9_E6A1A950455F"/>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金昊, 熊伟. 康复机器人手套联合镜像疗法对脑卒中后手功能康复的影响[</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医学理论与实践, 2024,37(6):1056-1058.</w:t>
      </w:r>
      <w:bookmarkEnd w:id="49"/>
    </w:p>
    <w:p w14:paraId="726B32F1">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[46]</w:t>
      </w:r>
      <w:bookmarkStart w:id="50" w:name="_nebC65FCDA0_CBAE_48F9_B5DB_CC2287874C92"/>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Abdelraouf O R, Abdel Ghafar M A, Mohamed M E, et al. Soft robotic gloves versus mirror therapy: a long-term comparative study on hand function and motor recovery in post-stroke rehabilitation[J]. Journal of rehabilitation medicine, </w:t>
      </w:r>
      <w:r>
        <w:rPr>
          <w:rFonts w:hint="eastAsia" w:ascii="宋体" w:hAnsi="宋体" w:eastAsia="宋体" w:cs="宋体"/>
          <w:color w:val="000000"/>
          <w:sz w:val="21"/>
          <w:szCs w:val="21"/>
        </w:rPr>
        <w:t>2025,57:</w:t>
      </w:r>
      <w:r>
        <w:rPr>
          <w:rFonts w:hint="eastAsia" w:ascii="Times New Roman" w:hAnsi="Times New Roman" w:eastAsia="宋体" w:cs="Times New Roman"/>
          <w:color w:val="000000"/>
          <w:sz w:val="21"/>
          <w:szCs w:val="21"/>
        </w:rPr>
        <w:t>jrm</w:t>
      </w:r>
      <w:r>
        <w:rPr>
          <w:rFonts w:hint="eastAsia" w:ascii="宋体" w:hAnsi="宋体" w:eastAsia="宋体" w:cs="宋体"/>
          <w:color w:val="000000"/>
          <w:sz w:val="21"/>
          <w:szCs w:val="21"/>
        </w:rPr>
        <w:t>43482.</w:t>
      </w:r>
      <w:bookmarkEnd w:id="50"/>
    </w:p>
    <w:p w14:paraId="7FAF7687">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[47]</w:t>
      </w:r>
      <w:bookmarkStart w:id="51" w:name="_neb18222FED_E756_41EE_A572_953E17E56A12"/>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朱海峰, 韩威威, 陈斌, 等. 镜像疗法结合肌内效贴对脑卒中偏瘫患者上肢功能的影响[</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中华物理医学与康复杂志, 2022,44(9):792-794.</w:t>
      </w:r>
      <w:bookmarkEnd w:id="51"/>
    </w:p>
    <w:p w14:paraId="77B2FFFD">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[48]</w:t>
      </w:r>
      <w:bookmarkStart w:id="52" w:name="_neb927A489D_8DEC_4B06_9917_C0DC2CF243A5"/>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吴娱倩, 张玉梅, 臧大维, 等. 上肢动作研究测试量表评定亚急性期缺血性卒中患者偏瘫侧上肢及手功能的信效度和敏感性研究[</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中国卒中杂志, 2024,19(8):915-923.</w:t>
      </w:r>
      <w:bookmarkEnd w:id="52"/>
    </w:p>
    <w:p w14:paraId="59BB29BD">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[49]</w:t>
      </w:r>
      <w:bookmarkStart w:id="53" w:name="_nebB141CE78_E807_4268_857D_E8B9883FBD65"/>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Kohl S H, Mehler D M A, Luhrs M, et al. The Potential of Functional Near-Infrared Spectroscopy-Based Neurofeedback-A  Systematic Review and Recommendations for Best Practice[J]. Front Neurosci, </w:t>
      </w:r>
      <w:r>
        <w:rPr>
          <w:rFonts w:hint="eastAsia" w:ascii="宋体" w:hAnsi="宋体" w:eastAsia="宋体" w:cs="宋体"/>
          <w:color w:val="000000"/>
          <w:sz w:val="21"/>
          <w:szCs w:val="21"/>
        </w:rPr>
        <w:t>2020,14:594.</w:t>
      </w:r>
      <w:bookmarkEnd w:id="53"/>
    </w:p>
    <w:p w14:paraId="4A0EF87B">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[50]</w:t>
      </w:r>
      <w:bookmarkStart w:id="54" w:name="_nebF3DD646A_B6A2_4FC7_AFC4_A284752FA4D5"/>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Gu Y, Angelaki D E, Deangelis G C. Neural correlates of multisensory cue integration in macaque MSTd[J]. Nat Neurosci, </w:t>
      </w:r>
      <w:r>
        <w:rPr>
          <w:rFonts w:hint="eastAsia" w:ascii="宋体" w:hAnsi="宋体" w:eastAsia="宋体" w:cs="宋体"/>
          <w:color w:val="000000"/>
          <w:sz w:val="21"/>
          <w:szCs w:val="21"/>
        </w:rPr>
        <w:t>2008,11(10):1201-1210.</w:t>
      </w:r>
      <w:bookmarkEnd w:id="54"/>
    </w:p>
    <w:p w14:paraId="5D6625E3">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[51]</w:t>
      </w:r>
      <w:bookmarkStart w:id="55" w:name="_neb8900410A_6430_4D11_B51F_971477D46152"/>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Santisteban L, Teremetz M, Bleton J, et al. Upper Limb Outcome Measures Used in Stroke Rehabilitation Studies: A Systematic Literature Review[J]. PLoS One,</w:t>
      </w:r>
      <w:r>
        <w:rPr>
          <w:rFonts w:hint="eastAsia" w:ascii="宋体" w:hAnsi="宋体" w:eastAsia="宋体" w:cs="宋体"/>
          <w:color w:val="000000"/>
          <w:sz w:val="21"/>
          <w:szCs w:val="21"/>
        </w:rPr>
        <w:t xml:space="preserve"> 2016,11(5):e154792.</w:t>
      </w:r>
      <w:bookmarkEnd w:id="55"/>
    </w:p>
    <w:p w14:paraId="486E7440">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[52]</w:t>
      </w:r>
      <w:bookmarkStart w:id="56" w:name="_nebB8FC72D3_BD39_4378_A147_99F2DCC0B4E4"/>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Sui Y, Kan C, Zhu S, et al. Resting-state functional connectivity for determining outcomes in upper extremity function after stroke: A functional near-infrared spectroscopy study[J]. Front Neurol, </w:t>
      </w:r>
      <w:r>
        <w:rPr>
          <w:rFonts w:hint="eastAsia" w:ascii="宋体" w:hAnsi="宋体" w:eastAsia="宋体" w:cs="宋体"/>
          <w:color w:val="000000"/>
          <w:sz w:val="21"/>
          <w:szCs w:val="21"/>
        </w:rPr>
        <w:t>2022,13:965856.</w:t>
      </w:r>
      <w:bookmarkEnd w:id="56"/>
    </w:p>
    <w:p w14:paraId="13CFD366">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[53]</w:t>
      </w:r>
      <w:bookmarkStart w:id="57" w:name="_neb2DC894D1_E8DC_4EE5_BB6B_7E8C0407A5B9"/>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Samuelkamaleshkumar S, Reethajanetsureka S, Pauljebaraj P, et al. Mirror therapy enhances motor performance in the paretic upper limb after stroke: a pilot randomized controlled trial[J]. Arch Phys Med Rehabil,</w:t>
      </w:r>
      <w:r>
        <w:rPr>
          <w:rFonts w:hint="eastAsia" w:ascii="宋体" w:hAnsi="宋体" w:eastAsia="宋体" w:cs="宋体"/>
          <w:color w:val="000000"/>
          <w:sz w:val="21"/>
          <w:szCs w:val="21"/>
        </w:rPr>
        <w:t xml:space="preserve"> 2014,95(11):2000-2005.</w:t>
      </w:r>
      <w:bookmarkEnd w:id="57"/>
    </w:p>
    <w:p w14:paraId="2ADC2082">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[54]</w:t>
      </w:r>
      <w:bookmarkStart w:id="58" w:name="_nebBE7093D0_BD75_4690_926A_C44B5D7EA773"/>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Wei D, Hua X Y, Zheng M X, et al. Effectiveness of robot-assisted virtual reality mirror therapy for upper limb  motor dysfunction after stroke: study protocol for a single-center randomized  controlled clinical trial[J]. BMC Neurol, </w:t>
      </w:r>
      <w:r>
        <w:rPr>
          <w:rFonts w:hint="eastAsia" w:ascii="宋体" w:hAnsi="宋体" w:eastAsia="宋体" w:cs="宋体"/>
          <w:color w:val="000000"/>
          <w:sz w:val="21"/>
          <w:szCs w:val="21"/>
        </w:rPr>
        <w:t>2022,22(1):307.</w:t>
      </w:r>
      <w:bookmarkEnd w:id="58"/>
    </w:p>
    <w:p w14:paraId="0CC9C0A5">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[55]</w:t>
      </w:r>
      <w:bookmarkStart w:id="59" w:name="_nebD36F5D1F_608A_4820_9925_701C196E195C"/>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Fugl-Meyer A R, Jaasko L, Leyman I, et al. The post-stroke hemiplegic patient. 1. a method for evaluation of physical performance[J]. Scand J Rehabil Med,</w:t>
      </w:r>
      <w:r>
        <w:rPr>
          <w:rFonts w:hint="eastAsia" w:ascii="宋体" w:hAnsi="宋体" w:eastAsia="宋体" w:cs="宋体"/>
          <w:color w:val="000000"/>
          <w:sz w:val="21"/>
          <w:szCs w:val="21"/>
        </w:rPr>
        <w:t xml:space="preserve"> 1975,7(1):13-31.</w:t>
      </w:r>
      <w:bookmarkEnd w:id="59"/>
    </w:p>
    <w:p w14:paraId="29B9F9C0">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[56]</w:t>
      </w:r>
      <w:bookmarkStart w:id="60" w:name="_neb57F047C0_AFE6_4439_93C8_2D486B766023"/>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Lu X, Wickens J R, Hyland B I. Multimodal convergence in the pedunculopontine tegmental nucleus: Motor, sensory and theta-frequency inputs influence activity of single neurons[J]. The European journal of neuroscience,</w:t>
      </w:r>
      <w:r>
        <w:rPr>
          <w:rFonts w:hint="eastAsia" w:ascii="宋体" w:hAnsi="宋体" w:eastAsia="宋体" w:cs="宋体"/>
          <w:color w:val="000000"/>
          <w:sz w:val="21"/>
          <w:szCs w:val="21"/>
        </w:rPr>
        <w:t xml:space="preserve"> 2024,60(1):3643-3658.</w:t>
      </w:r>
      <w:bookmarkEnd w:id="60"/>
    </w:p>
    <w:p w14:paraId="305FC0FC">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[57]</w:t>
      </w:r>
      <w:bookmarkStart w:id="61" w:name="_nebC6C32D72_19E8_4B45_B99E_634B3526D382"/>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Amann L K, Casasnovas V, Hainke J, et al. Optimality of multisensory integration while compensating for uncertain visual target information with artificial vibrotactile cues during reach planning[J]. Journal of neuroengineering and rehabilitation, </w:t>
      </w:r>
      <w:r>
        <w:rPr>
          <w:rFonts w:hint="eastAsia" w:ascii="宋体" w:hAnsi="宋体" w:eastAsia="宋体" w:cs="宋体"/>
          <w:color w:val="000000"/>
          <w:sz w:val="21"/>
          <w:szCs w:val="21"/>
        </w:rPr>
        <w:t>2024,21(1):155.</w:t>
      </w:r>
      <w:bookmarkEnd w:id="61"/>
    </w:p>
    <w:p w14:paraId="2A4D3B17">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[58]</w:t>
      </w:r>
      <w:bookmarkStart w:id="62" w:name="_neb277E102D_220B_43AD_925B_7B3BAD7DD7E8"/>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董晨杰, 王政烨, 李淦棠, 等. 多感觉模态信息处理的认知神经基础[</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华南师范大学学报(社会科学版), 2025(1):90-105.</w:t>
      </w:r>
      <w:bookmarkEnd w:id="62"/>
    </w:p>
    <w:p w14:paraId="4969ECD7">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[59]</w:t>
      </w:r>
      <w:bookmarkStart w:id="63" w:name="_neb63A5AD74_03E8_445B_ABA1_407AC08C0B9B"/>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Meredith M A, Stein B E. Descending efferents from the superior colliculus relay integrated multisensory information[J]. Science,</w:t>
      </w:r>
      <w:r>
        <w:rPr>
          <w:rFonts w:hint="eastAsia" w:ascii="宋体" w:hAnsi="宋体" w:eastAsia="宋体" w:cs="宋体"/>
          <w:color w:val="000000"/>
          <w:sz w:val="21"/>
          <w:szCs w:val="21"/>
        </w:rPr>
        <w:t xml:space="preserve"> 1985,227(4687):657-659.</w:t>
      </w:r>
      <w:bookmarkEnd w:id="63"/>
    </w:p>
    <w:p w14:paraId="43338CF0">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[60]</w:t>
      </w:r>
      <w:bookmarkStart w:id="64" w:name="_nebABF011A4_3F7C_40C6_B5EA_3340E592CF02"/>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吴章薇, 张通, 赵军, 等. 急性缺血性卒中后炎症因子水平与神经功能恢复的关系研究[</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中国卒中杂志, 2021,16(10):1023-1028.</w:t>
      </w:r>
      <w:bookmarkEnd w:id="64"/>
    </w:p>
    <w:p w14:paraId="6CE38B3E">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[61]</w:t>
      </w:r>
      <w:bookmarkStart w:id="65" w:name="_neb0E899CE8_303F_4EF6_A1EB_E1661EBBF32C"/>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Page S J. Effects of modified constraint-induced movement therapy on movement kinematics and daily function in patients with stroke: a kinematic study of motor control mechanisms[J]. Neurorehabil Neural Repair, </w:t>
      </w:r>
      <w:r>
        <w:rPr>
          <w:rFonts w:hint="eastAsia" w:ascii="宋体" w:hAnsi="宋体" w:eastAsia="宋体" w:cs="宋体"/>
          <w:color w:val="000000"/>
          <w:sz w:val="21"/>
          <w:szCs w:val="21"/>
        </w:rPr>
        <w:t>2007,21(6):574, 574-575.</w:t>
      </w:r>
      <w:bookmarkEnd w:id="65"/>
    </w:p>
    <w:p w14:paraId="4D83DA65">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[62]</w:t>
      </w:r>
      <w:bookmarkStart w:id="66" w:name="_neb318C599F_7CAD_4255_9B45_9C6BFA105D1C"/>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Wolf S L, Winstein C J, Miller J P, et al. Effect of constraint-induced movement therapy on upper extremity function 3 to 9 months after stroke: the EXCITE randomized clinical trial[J]. JAMA, </w:t>
      </w:r>
      <w:r>
        <w:rPr>
          <w:rFonts w:hint="eastAsia" w:ascii="宋体" w:hAnsi="宋体" w:eastAsia="宋体" w:cs="宋体"/>
          <w:color w:val="000000"/>
          <w:sz w:val="21"/>
          <w:szCs w:val="21"/>
        </w:rPr>
        <w:t>2006,296(17):2095-2104.</w:t>
      </w:r>
      <w:bookmarkEnd w:id="66"/>
    </w:p>
    <w:p w14:paraId="40DA9BBC">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[63]</w:t>
      </w:r>
      <w:bookmarkStart w:id="67" w:name="_nebF362054C_53EE_45C1_9125_115C9F3337C1"/>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Tang C, Zhou T, Zhang Y, et al. Bilateral upper limb robot-assisted rehabilitation improves upper limb motor function in stroke patients: a study based on quantitative EEG[J]. Eur J Med Res,</w:t>
      </w:r>
      <w:r>
        <w:rPr>
          <w:rFonts w:hint="eastAsia" w:ascii="宋体" w:hAnsi="宋体" w:eastAsia="宋体" w:cs="宋体"/>
          <w:color w:val="000000"/>
          <w:sz w:val="21"/>
          <w:szCs w:val="21"/>
        </w:rPr>
        <w:t xml:space="preserve"> 2023,28(1):603.</w:t>
      </w:r>
      <w:bookmarkEnd w:id="67"/>
    </w:p>
    <w:p w14:paraId="309A7275">
      <w:pPr>
        <w:spacing w:line="320" w:lineRule="exact"/>
        <w:ind w:left="420" w:hanging="420" w:hangingChars="200"/>
        <w:rPr>
          <w:rFonts w:hint="eastAsia" w:ascii="宋体" w:hAnsi="宋体" w:cs="Arial"/>
          <w:szCs w:val="21"/>
        </w:rPr>
      </w:pPr>
      <w:r>
        <w:rPr>
          <w:rFonts w:hint="eastAsia" w:ascii="宋体" w:hAnsi="宋体" w:cs="Arial"/>
          <w:szCs w:val="21"/>
        </w:rPr>
        <w:t>[64]</w:t>
      </w:r>
      <w:bookmarkStart w:id="68" w:name="_neb1787E95A_7EF7_4849_B27C_AD8FA09DEE65"/>
      <w:r>
        <w:rPr>
          <w:rFonts w:hint="eastAsia" w:ascii="宋体" w:hAnsi="宋体" w:cs="Arial"/>
          <w:szCs w:val="21"/>
          <w:lang w:val="en-US" w:eastAsia="zh-CN"/>
        </w:rPr>
        <w:t xml:space="preserve"> </w:t>
      </w:r>
      <w:r>
        <w:rPr>
          <w:rFonts w:hint="eastAsia" w:ascii="宋体" w:hAnsi="宋体" w:cs="Arial"/>
          <w:szCs w:val="21"/>
        </w:rPr>
        <w:t>徐奕鹏, 侯甜, 张雪, 等. 头针联合上肢功能性电刺激对脑卒中后上肢运动功能影响的随机对照研究[</w:t>
      </w:r>
      <w:r>
        <w:rPr>
          <w:rFonts w:hint="default" w:ascii="Times New Roman" w:hAnsi="Times New Roman" w:cs="Times New Roman"/>
          <w:szCs w:val="21"/>
        </w:rPr>
        <w:t>J</w:t>
      </w:r>
      <w:r>
        <w:rPr>
          <w:rFonts w:hint="eastAsia" w:ascii="宋体" w:hAnsi="宋体" w:cs="Arial"/>
          <w:szCs w:val="21"/>
        </w:rPr>
        <w:t>]. 中国康复医学杂志, 2024,39(4):500-504.</w:t>
      </w:r>
      <w:bookmarkEnd w:id="68"/>
    </w:p>
    <w:p w14:paraId="3CCB4E54">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[65]</w:t>
      </w:r>
      <w:bookmarkStart w:id="69" w:name="_neb1F7D62AB_549F_4266_9310_8B4C2285B9AA"/>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Choudhury S, Shobhana A, Singh R, et al. The Relationship Between Enhanced Reticulospinal Outflow and Upper Limb Function in Chronic Stroke Patients[J]. Neurorehabil Neural Repair,</w:t>
      </w:r>
      <w:r>
        <w:rPr>
          <w:rFonts w:hint="eastAsia" w:ascii="宋体" w:hAnsi="宋体" w:eastAsia="宋体" w:cs="宋体"/>
          <w:color w:val="000000"/>
          <w:sz w:val="21"/>
          <w:szCs w:val="21"/>
        </w:rPr>
        <w:t xml:space="preserve"> 2019,33(5):375-383.</w:t>
      </w:r>
      <w:bookmarkEnd w:id="69"/>
    </w:p>
    <w:p w14:paraId="3D68D032">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[66]</w:t>
      </w:r>
      <w:bookmarkStart w:id="70" w:name="_nebF6BA0FF0_F0E5_443A_9C62_921151AA1429"/>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Hammerbeck U, Tyson S F, Samraj P, et al. The Strength of the Corticospinal Tract Not the Reticulospinal Tract Determines Upper-Limb Impairment Level and Capacity for Skill-Acquisition in the Sub-Acute Post-Stroke Period[J]. Neurorehabil Neural Repair,</w:t>
      </w:r>
      <w:r>
        <w:rPr>
          <w:rFonts w:hint="eastAsia" w:ascii="宋体" w:hAnsi="宋体" w:eastAsia="宋体" w:cs="宋体"/>
          <w:color w:val="000000"/>
          <w:sz w:val="21"/>
          <w:szCs w:val="21"/>
        </w:rPr>
        <w:t xml:space="preserve"> 2021,35(9):812-822.</w:t>
      </w:r>
      <w:bookmarkEnd w:id="70"/>
    </w:p>
    <w:p w14:paraId="11429BA2">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[67]</w:t>
      </w:r>
      <w:bookmarkStart w:id="71" w:name="_nebA3D19D00_5098_468F_8182_C0D798A8EFE3"/>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Roiha K, Kirveskari E, Kaste M, et al. Reorganization of the primary somatosensory cortex during stroke recovery[J]. Clinical Neurophysiology,</w:t>
      </w:r>
      <w:r>
        <w:rPr>
          <w:rFonts w:hint="eastAsia" w:ascii="宋体" w:hAnsi="宋体" w:eastAsia="宋体" w:cs="宋体"/>
          <w:color w:val="000000"/>
          <w:sz w:val="21"/>
          <w:szCs w:val="21"/>
        </w:rPr>
        <w:t xml:space="preserve"> 2011,122(2):339-345.</w:t>
      </w:r>
      <w:bookmarkEnd w:id="71"/>
    </w:p>
    <w:p w14:paraId="4633B1DE">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[68]</w:t>
      </w:r>
      <w:bookmarkStart w:id="72" w:name="_nebA773327A_5899_404B_915F_539318C7A001"/>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Kwakkel G, van Wegen E E H, Burridge J H, et al. Standardized Measurement of Quality of Upper Limb Movement After Stroke: Consensus-Based Core Recommendations From the Second Stroke Recovery and Rehabilitation Roundtable[J]. Neurorehabil Neural Repair, </w:t>
      </w:r>
      <w:r>
        <w:rPr>
          <w:rFonts w:hint="eastAsia" w:ascii="宋体" w:hAnsi="宋体" w:eastAsia="宋体" w:cs="宋体"/>
          <w:color w:val="000000"/>
          <w:sz w:val="21"/>
          <w:szCs w:val="21"/>
        </w:rPr>
        <w:t>2019,33(11):951-958.</w:t>
      </w:r>
      <w:bookmarkEnd w:id="72"/>
    </w:p>
    <w:p w14:paraId="3AAA5A83">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[69]</w:t>
      </w:r>
      <w:bookmarkStart w:id="73" w:name="_neb28CF1568_C085_4EAB_8F80_77F9CE7D0F73"/>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王敏锐, 王海宝, 余永强. 手简单与精细运动的脑激活区功能磁共振成像研究[</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安徽医科大学学报, 2013,48(9):1103-1107.</w:t>
      </w:r>
      <w:bookmarkEnd w:id="73"/>
    </w:p>
    <w:p w14:paraId="609C7A34">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[70]</w:t>
      </w:r>
      <w:bookmarkStart w:id="74" w:name="_nebCA921A5A_E098_40ED_BECE_8C3422F6A2E2"/>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Bisio A, Iester C, Biggio M, et al. Frontoparietal network activity during a combined action observation and proprioceptive stimulation protocol reveals long-term plasticity in the primary motor cortex[J]. Neuroimage,</w:t>
      </w:r>
      <w:r>
        <w:rPr>
          <w:rFonts w:hint="eastAsia" w:ascii="宋体" w:hAnsi="宋体" w:eastAsia="宋体" w:cs="宋体"/>
          <w:color w:val="000000"/>
          <w:sz w:val="21"/>
          <w:szCs w:val="21"/>
        </w:rPr>
        <w:t xml:space="preserve"> 2025,319:121432.</w:t>
      </w:r>
      <w:bookmarkEnd w:id="74"/>
    </w:p>
    <w:p w14:paraId="38218806">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[71]</w:t>
      </w:r>
      <w:bookmarkStart w:id="75" w:name="_neb1995CCA4_2E6C_43D1_88A6_8E2C83F44490"/>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Xue X, Wu J, Xing X, et al. Mapping individual cortico-basal ganglia-thalamo-cortical circuits integrating structural and functional connectome: implications for upper limb motor impairment poststroke[J]. MedComm </w:t>
      </w:r>
      <w:r>
        <w:rPr>
          <w:rFonts w:hint="eastAsia" w:ascii="宋体" w:hAnsi="宋体" w:eastAsia="宋体" w:cs="宋体"/>
          <w:color w:val="000000"/>
          <w:sz w:val="21"/>
          <w:szCs w:val="21"/>
        </w:rPr>
        <w:t>(2020), 2024,5(10):e764.</w:t>
      </w:r>
      <w:bookmarkEnd w:id="75"/>
    </w:p>
    <w:p w14:paraId="6D75E332">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[72]</w:t>
      </w:r>
      <w:bookmarkStart w:id="76" w:name="_neb25E4E596_D0EE_4369_B582_E4284CE8FF57"/>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Doi T, Makizako H, Shimada H, et al. Brain activation during dual-task walking and executive function among older adults with mild cognitive impairment: a fNIRS study[J]. Aging Clin Exp Res, </w:t>
      </w:r>
      <w:r>
        <w:rPr>
          <w:rFonts w:hint="eastAsia" w:ascii="宋体" w:hAnsi="宋体" w:eastAsia="宋体" w:cs="宋体"/>
          <w:color w:val="000000"/>
          <w:sz w:val="21"/>
          <w:szCs w:val="21"/>
        </w:rPr>
        <w:t>2013,25(5):539-544.</w:t>
      </w:r>
      <w:bookmarkEnd w:id="76"/>
    </w:p>
    <w:p w14:paraId="76C153DB">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[73]</w:t>
      </w:r>
      <w:bookmarkStart w:id="77" w:name="_neb2A96A520_CBAE_4E49_8A16_674694052F42"/>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Udina C, Avtzi S, Durduran T, et al. Functional Near-Infrared Spectroscopy to Study Cerebral Hemodynamics in Older Adults During Cognitive and Motor Tasks: A Review[J]. Front Aging Neurosci, </w:t>
      </w:r>
      <w:r>
        <w:rPr>
          <w:rFonts w:hint="eastAsia" w:ascii="宋体" w:hAnsi="宋体" w:eastAsia="宋体" w:cs="宋体"/>
          <w:color w:val="000000"/>
          <w:sz w:val="21"/>
          <w:szCs w:val="21"/>
        </w:rPr>
        <w:t>2019,11:367.</w:t>
      </w:r>
      <w:bookmarkEnd w:id="77"/>
    </w:p>
    <w:p w14:paraId="2C0A413B">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[74]</w:t>
      </w:r>
      <w:bookmarkStart w:id="78" w:name="_nebE453BD63_1FCD_4B38_8B82_FD82216E8758"/>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Cranswick I, Jones A, Brogden C, et al. Rehabilitation remodelled: a narrative review of injury rehabilitation models and proposal of a multi-component MSK rehabilitation model[J]. Res Sports Med,</w:t>
      </w:r>
      <w:r>
        <w:rPr>
          <w:rFonts w:hint="eastAsia" w:ascii="宋体" w:hAnsi="宋体" w:eastAsia="宋体" w:cs="宋体"/>
          <w:color w:val="000000"/>
          <w:sz w:val="21"/>
          <w:szCs w:val="21"/>
        </w:rPr>
        <w:t xml:space="preserve"> 2025:1-29.</w:t>
      </w:r>
      <w:bookmarkEnd w:id="78"/>
    </w:p>
    <w:p w14:paraId="39293FAA">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[75]</w:t>
      </w:r>
      <w:bookmarkStart w:id="79" w:name="_neb97C9A3B4_2BFF_48E7_B4ED_CA924D2381AD"/>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Zhang J, Chen J, Liu X, et al. Effectiveness of intelligent robotic-assisted training system combined with repetitive facilitative exercise on upper limb motor function after stroke: a randomized controlled trial[J]. BMC Sports Sci Med Rehabil,</w:t>
      </w:r>
      <w:r>
        <w:rPr>
          <w:rFonts w:hint="eastAsia" w:ascii="宋体" w:hAnsi="宋体" w:eastAsia="宋体" w:cs="宋体"/>
          <w:color w:val="000000"/>
          <w:sz w:val="21"/>
          <w:szCs w:val="21"/>
        </w:rPr>
        <w:t xml:space="preserve"> 2025,17(1):178.</w:t>
      </w:r>
      <w:bookmarkEnd w:id="79"/>
    </w:p>
    <w:p w14:paraId="0CA0A550">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[76]</w:t>
      </w:r>
      <w:bookmarkStart w:id="80" w:name="_nebD30A8B38_903B_43FA_97DD_7EDD7BB70025"/>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Pugach G, Pitti A, Tolochko O, et al. Brain-Inspired Coding of Robot Body Schema Through Visuo-Motor Integration of Touched Events[J]. Front Neurorobot, </w:t>
      </w:r>
      <w:r>
        <w:rPr>
          <w:rFonts w:hint="eastAsia" w:ascii="宋体" w:hAnsi="宋体" w:eastAsia="宋体" w:cs="宋体"/>
          <w:color w:val="000000"/>
          <w:sz w:val="21"/>
          <w:szCs w:val="21"/>
        </w:rPr>
        <w:t>2019,13:5.</w:t>
      </w:r>
      <w:bookmarkEnd w:id="80"/>
    </w:p>
    <w:p w14:paraId="11392737">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[77]</w:t>
      </w:r>
      <w:bookmarkStart w:id="81" w:name="_neb2144F799_3596_4815_98C3_96EBD2CDB1DD"/>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Sadaf M U K, Sakib N U, Pannone A, et al. A bio-inspired visuotactile neuron for multisensory integration[J]. Nat Commun, </w:t>
      </w:r>
      <w:r>
        <w:rPr>
          <w:rFonts w:hint="eastAsia" w:ascii="宋体" w:hAnsi="宋体" w:eastAsia="宋体" w:cs="宋体"/>
          <w:color w:val="000000"/>
          <w:sz w:val="21"/>
          <w:szCs w:val="21"/>
        </w:rPr>
        <w:t>2023,14(1):5729.</w:t>
      </w:r>
      <w:bookmarkEnd w:id="81"/>
    </w:p>
    <w:p w14:paraId="24F0E62D">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[78]</w:t>
      </w:r>
      <w:bookmarkStart w:id="82" w:name="_nebB7072F13_C5DD_4825_A5E7_702F45C7187B"/>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Karimi A, Mozumder R, Schoenhaut A M, et al. Integration of audiovisual motion in dorsolateral prefrontal cortical neurons[J]. J Neurophysiol,</w:t>
      </w:r>
      <w:r>
        <w:rPr>
          <w:rFonts w:hint="eastAsia" w:ascii="宋体" w:hAnsi="宋体" w:eastAsia="宋体" w:cs="宋体"/>
          <w:color w:val="000000"/>
          <w:sz w:val="21"/>
          <w:szCs w:val="21"/>
        </w:rPr>
        <w:t xml:space="preserve"> 2025,134(4):1097-1110.</w:t>
      </w:r>
      <w:bookmarkEnd w:id="82"/>
    </w:p>
    <w:p w14:paraId="3FF445AD">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[79]</w:t>
      </w:r>
      <w:bookmarkStart w:id="83" w:name="_nebB6343AAF_1FE7_4924_90F6_C690F530B574"/>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Perpetuini D, Bucco R, Zito M, et al. Study of memory deficit in Alzheimer's disease by means of complexity analysis of fNIRS signal[J]. Neurophotonics,</w:t>
      </w:r>
      <w:r>
        <w:rPr>
          <w:rFonts w:hint="eastAsia" w:ascii="宋体" w:hAnsi="宋体" w:eastAsia="宋体" w:cs="宋体"/>
          <w:color w:val="000000"/>
          <w:sz w:val="21"/>
          <w:szCs w:val="21"/>
        </w:rPr>
        <w:t xml:space="preserve"> 2018,5(1):11010.</w:t>
      </w:r>
      <w:bookmarkEnd w:id="83"/>
    </w:p>
    <w:p w14:paraId="4AD724D2">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[80]</w:t>
      </w:r>
      <w:bookmarkStart w:id="84" w:name="_neb12235219_0943_418E_ACF5_C7F045A40660"/>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Tang T B, Chan Y L. Functional Connectivity Analysis on Mild Alzheimer's Disease, Mild Cognitive Impairment and Normal Aging using fNIRS[J]. Annu Int Conf IEEE Eng Med Biol Soc, </w:t>
      </w:r>
      <w:r>
        <w:rPr>
          <w:rFonts w:hint="eastAsia" w:ascii="宋体" w:hAnsi="宋体" w:eastAsia="宋体" w:cs="宋体"/>
          <w:color w:val="000000"/>
          <w:sz w:val="21"/>
          <w:szCs w:val="21"/>
        </w:rPr>
        <w:t>2018,2018:17-20.</w:t>
      </w:r>
      <w:bookmarkEnd w:id="84"/>
    </w:p>
    <w:p w14:paraId="008D5111">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[81]</w:t>
      </w:r>
      <w:bookmarkStart w:id="85" w:name="_nebDF6C521B_CDFC_494F_9601_F33316451876"/>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Niu H, Li X, Chen Y, et al. Reduced frontal activation during a working memory task in mild cognitive impairment: a non-invasive near-infrared spectroscopy study[J]. CNS Neurosci Ther, </w:t>
      </w:r>
      <w:r>
        <w:rPr>
          <w:rFonts w:hint="eastAsia" w:ascii="宋体" w:hAnsi="宋体" w:eastAsia="宋体" w:cs="宋体"/>
          <w:color w:val="000000"/>
          <w:sz w:val="21"/>
          <w:szCs w:val="21"/>
        </w:rPr>
        <w:t>2013,19(2):125-131.</w:t>
      </w:r>
      <w:bookmarkEnd w:id="85"/>
    </w:p>
    <w:p w14:paraId="7044F62E">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[82]</w:t>
      </w:r>
      <w:bookmarkStart w:id="86" w:name="_nebE8ED267E_8A0E_42EB_A2AF_64F3E48890D4"/>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Hara T, Shanmugalingam A, McIntyre A, et al. The Effect of Non-Invasive Brain Stimulation (NIBS) on Executive Functioning, Attention and Memory in Rehabilitation Patients with Traumatic Brain Injury: A Systematic Review[J]. Diagnostics (Basel), </w:t>
      </w:r>
      <w:r>
        <w:rPr>
          <w:rFonts w:hint="eastAsia" w:ascii="宋体" w:hAnsi="宋体" w:eastAsia="宋体" w:cs="宋体"/>
          <w:color w:val="000000"/>
          <w:sz w:val="21"/>
          <w:szCs w:val="21"/>
        </w:rPr>
        <w:t>2021,11(4).</w:t>
      </w:r>
      <w:bookmarkEnd w:id="86"/>
    </w:p>
    <w:p w14:paraId="36F05389">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[83]</w:t>
      </w:r>
      <w:bookmarkStart w:id="87" w:name="_neb83ABE799_5382_4FC0_B102_E542EFA7464B"/>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Plautz E J, Milliken G W, Nudo R J. Effects of repetitive motor training on movement representations in adult squirrel monkeys: role of use versus learning[J]. Neurobiol Learn Mem, </w:t>
      </w:r>
      <w:r>
        <w:rPr>
          <w:rFonts w:hint="eastAsia" w:ascii="宋体" w:hAnsi="宋体" w:eastAsia="宋体" w:cs="宋体"/>
          <w:color w:val="000000"/>
          <w:sz w:val="21"/>
          <w:szCs w:val="21"/>
        </w:rPr>
        <w:t>2000,74(1):27-55.</w:t>
      </w:r>
      <w:bookmarkEnd w:id="87"/>
    </w:p>
    <w:p w14:paraId="66F8CF76">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[84]</w:t>
      </w:r>
      <w:bookmarkStart w:id="88" w:name="_neb97BC241A_0859_48BF_8F42_39B8A81CE3E7"/>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Morales P. Long lasting structural changes in primary motor cortex after motor skill learning: a behavioural and stereological study[J]. Biol Res, </w:t>
      </w:r>
      <w:r>
        <w:rPr>
          <w:rFonts w:hint="eastAsia" w:ascii="宋体" w:hAnsi="宋体" w:eastAsia="宋体" w:cs="宋体"/>
          <w:color w:val="000000"/>
          <w:sz w:val="21"/>
          <w:szCs w:val="21"/>
        </w:rPr>
        <w:t>2008,41(4):397-404.</w:t>
      </w:r>
      <w:bookmarkEnd w:id="88"/>
    </w:p>
    <w:p w14:paraId="45A5AA5C">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[85]</w:t>
      </w:r>
      <w:bookmarkStart w:id="89" w:name="_neb1D3C5998_E487_453E_9976_333BB5478E82"/>
      <w:r>
        <w:rPr>
          <w:rFonts w:hint="eastAsia" w:ascii="宋体" w:hAnsi="宋体" w:cs="宋体"/>
          <w:color w:val="000000"/>
          <w:sz w:val="21"/>
          <w:szCs w:val="21"/>
          <w:lang w:val="en-US" w:eastAsia="zh-CN"/>
        </w:rPr>
        <w:t xml:space="preserve"> </w:t>
      </w:r>
      <w:r>
        <w:rPr>
          <w:rFonts w:hint="eastAsia" w:ascii="宋体" w:hAnsi="宋体" w:eastAsia="宋体" w:cs="宋体"/>
          <w:color w:val="000000"/>
          <w:sz w:val="21"/>
          <w:szCs w:val="21"/>
        </w:rPr>
        <w:t>史姗姗, 汪杰, 王颖鹏, 等. 基于功能性近红外光谱的孤独症谱系障碍儿童可视音乐任务下大脑前额叶激活程度的研究[</w:t>
      </w:r>
      <w:r>
        <w:rPr>
          <w:rFonts w:hint="default" w:ascii="Times New Roman" w:hAnsi="Times New Roman" w:eastAsia="宋体" w:cs="Times New Roman"/>
          <w:color w:val="000000"/>
          <w:sz w:val="21"/>
          <w:szCs w:val="21"/>
        </w:rPr>
        <w:t>J</w:t>
      </w:r>
      <w:r>
        <w:rPr>
          <w:rFonts w:hint="eastAsia" w:ascii="宋体" w:hAnsi="宋体" w:eastAsia="宋体" w:cs="宋体"/>
          <w:color w:val="000000"/>
          <w:sz w:val="21"/>
          <w:szCs w:val="21"/>
        </w:rPr>
        <w:t>]. 中国康复医学杂志, 2023,38(8):1050-1055.</w:t>
      </w:r>
      <w:bookmarkEnd w:id="89"/>
    </w:p>
    <w:p w14:paraId="49571E35">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[86]</w:t>
      </w:r>
      <w:bookmarkStart w:id="90" w:name="_nebED4354CF_DF7F_40E3_BB0D_A565B1C7B910"/>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Yuan R, Qiao X, Tang C, et al. Effects of Uni- vs. Bilateral Upper Limb Robot-Assisted Rehabilitation on Motor Function, Activities of Daily Living, and Electromyography in Hemiplegic Stroke: A Single-Blinded Three-Arm Randomized Controlled Trial[J]. J Clin Med, </w:t>
      </w:r>
      <w:r>
        <w:rPr>
          <w:rFonts w:hint="eastAsia" w:ascii="宋体" w:hAnsi="宋体" w:eastAsia="宋体" w:cs="宋体"/>
          <w:color w:val="000000"/>
          <w:sz w:val="21"/>
          <w:szCs w:val="21"/>
        </w:rPr>
        <w:t>2023,12(8).</w:t>
      </w:r>
      <w:bookmarkEnd w:id="90"/>
    </w:p>
    <w:p w14:paraId="490C7782">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[87]</w:t>
      </w:r>
      <w:bookmarkStart w:id="91" w:name="_nebC2FD5D60_5033_4104_9CDA_F5763FE3963A"/>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 xml:space="preserve">Yang X, Fengyi W, Yi C, et al. Effects of robot-assisted upper limb training combined with functional electrical stimulation in stroke patients: study protocol for a randomized controlled trial[J]. Trials, </w:t>
      </w:r>
      <w:r>
        <w:rPr>
          <w:rFonts w:hint="eastAsia" w:ascii="宋体" w:hAnsi="宋体" w:eastAsia="宋体" w:cs="宋体"/>
          <w:color w:val="000000"/>
          <w:sz w:val="21"/>
          <w:szCs w:val="21"/>
        </w:rPr>
        <w:t>2024,25(1):355.</w:t>
      </w:r>
      <w:bookmarkEnd w:id="91"/>
    </w:p>
    <w:p w14:paraId="7E5B6558">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[88]</w:t>
      </w:r>
      <w:bookmarkStart w:id="92" w:name="_neb990022E1_AD88_4184_B19A_16FF527D0975"/>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Cheng H, Ng K K, Qian X, et al. Task-related brain functional network reconfigurations relate to motor recovery in chronic subcortical stroke[J]. Sci Rep,</w:t>
      </w:r>
      <w:r>
        <w:rPr>
          <w:rFonts w:hint="eastAsia" w:ascii="宋体" w:hAnsi="宋体" w:eastAsia="宋体" w:cs="宋体"/>
          <w:color w:val="000000"/>
          <w:sz w:val="21"/>
          <w:szCs w:val="21"/>
        </w:rPr>
        <w:t xml:space="preserve"> 2021,11(1):8442.</w:t>
      </w:r>
      <w:bookmarkEnd w:id="92"/>
    </w:p>
    <w:p w14:paraId="2F908E10">
      <w:pPr>
        <w:keepNext w:val="0"/>
        <w:keepLines w:val="0"/>
        <w:pageBreakBefore w:val="0"/>
        <w:widowControl w:val="0"/>
        <w:kinsoku/>
        <w:wordWrap/>
        <w:overflowPunct/>
        <w:topLinePunct w:val="0"/>
        <w:autoSpaceDE/>
        <w:autoSpaceDN/>
        <w:bidi w:val="0"/>
        <w:adjustRightInd/>
        <w:snapToGrid/>
        <w:spacing w:beforeLines="0" w:afterLines="0" w:line="320" w:lineRule="exact"/>
        <w:ind w:left="400" w:hanging="420" w:hangingChars="200"/>
        <w:textAlignment w:val="auto"/>
        <w:rPr>
          <w:rFonts w:hint="eastAsia" w:ascii="宋体" w:hAnsi="宋体" w:eastAsia="宋体" w:cs="宋体"/>
          <w:sz w:val="21"/>
          <w:szCs w:val="21"/>
        </w:rPr>
      </w:pPr>
      <w:r>
        <w:rPr>
          <w:rFonts w:hint="eastAsia" w:ascii="宋体" w:hAnsi="宋体" w:eastAsia="宋体" w:cs="宋体"/>
          <w:color w:val="000000"/>
          <w:sz w:val="21"/>
          <w:szCs w:val="21"/>
        </w:rPr>
        <w:t>[89]</w:t>
      </w:r>
      <w:bookmarkStart w:id="93" w:name="_neb0D157D7E_FB5F_4DB1_8E9B_636A631E38DA"/>
      <w:r>
        <w:rPr>
          <w:rFonts w:hint="eastAsia" w:ascii="宋体" w:hAnsi="宋体" w:cs="宋体"/>
          <w:color w:val="000000"/>
          <w:sz w:val="21"/>
          <w:szCs w:val="21"/>
          <w:lang w:val="en-US" w:eastAsia="zh-CN"/>
        </w:rPr>
        <w:t xml:space="preserve"> </w:t>
      </w:r>
      <w:r>
        <w:rPr>
          <w:rFonts w:hint="eastAsia" w:ascii="Times New Roman" w:hAnsi="Times New Roman" w:eastAsia="宋体" w:cs="Times New Roman"/>
          <w:color w:val="000000"/>
          <w:sz w:val="21"/>
          <w:szCs w:val="21"/>
        </w:rPr>
        <w:t>Stinear CM, Byblow WD, Ackerley SJ, Smith MC, Borges VM, Barber PA.</w:t>
      </w:r>
      <w:r>
        <w:rPr>
          <w:rFonts w:hint="default" w:ascii="Times New Roman" w:hAnsi="Times New Roman" w:eastAsia="宋体" w:cs="Times New Roman"/>
          <w:color w:val="000000"/>
          <w:sz w:val="21"/>
          <w:szCs w:val="21"/>
        </w:rPr>
        <w:t xml:space="preserve"> PREP2: A biomarker-based algorithm for predicting upper limb function after stroke. Annals of Clinical and Translational Neurology. </w:t>
      </w:r>
      <w:r>
        <w:rPr>
          <w:rFonts w:hint="default" w:ascii="宋体" w:hAnsi="宋体" w:eastAsia="宋体" w:cs="宋体"/>
          <w:color w:val="000000"/>
          <w:sz w:val="21"/>
          <w:szCs w:val="21"/>
        </w:rPr>
        <w:t xml:space="preserve">2017 </w:t>
      </w:r>
      <w:r>
        <w:rPr>
          <w:rFonts w:hint="default" w:ascii="Times New Roman" w:hAnsi="Times New Roman" w:eastAsia="宋体" w:cs="Times New Roman"/>
          <w:color w:val="000000"/>
          <w:sz w:val="21"/>
          <w:szCs w:val="21"/>
        </w:rPr>
        <w:t xml:space="preserve">Oct </w:t>
      </w:r>
      <w:r>
        <w:rPr>
          <w:rFonts w:hint="default" w:ascii="宋体" w:hAnsi="宋体" w:eastAsia="宋体" w:cs="宋体"/>
          <w:color w:val="000000"/>
          <w:sz w:val="21"/>
          <w:szCs w:val="21"/>
        </w:rPr>
        <w:t>24;4(11):811-820.</w:t>
      </w:r>
      <w:r>
        <w:rPr>
          <w:rFonts w:hint="default" w:ascii="Segoe UI" w:hAnsi="Segoe UI" w:eastAsia="Segoe UI" w:cs="Segoe UI"/>
          <w:i w:val="0"/>
          <w:iCs w:val="0"/>
          <w:caps w:val="0"/>
          <w:color w:val="0F1115"/>
          <w:spacing w:val="0"/>
          <w:sz w:val="19"/>
          <w:szCs w:val="19"/>
          <w:shd w:val="clear" w:color="auto" w:fill="FFFFFF"/>
        </w:rPr>
        <w:t xml:space="preserve"> </w:t>
      </w:r>
      <w:bookmarkEnd w:id="93"/>
    </w:p>
    <w:p w14:paraId="02F12EC2">
      <w:pPr>
        <w:keepNext w:val="0"/>
        <w:keepLines w:val="0"/>
        <w:pageBreakBefore w:val="0"/>
        <w:widowControl w:val="0"/>
        <w:tabs>
          <w:tab w:val="center" w:pos="4139"/>
          <w:tab w:val="left" w:pos="7545"/>
          <w:tab w:val="right" w:leader="middleDot" w:pos="7740"/>
        </w:tabs>
        <w:kinsoku/>
        <w:wordWrap/>
        <w:overflowPunct/>
        <w:topLinePunct w:val="0"/>
        <w:autoSpaceDE/>
        <w:autoSpaceDN/>
        <w:bidi w:val="0"/>
        <w:adjustRightInd/>
        <w:snapToGrid/>
        <w:spacing w:line="320" w:lineRule="exact"/>
        <w:ind w:left="0" w:hanging="480" w:hangingChars="200"/>
        <w:textAlignment w:val="auto"/>
        <w:outlineLvl w:val="9"/>
        <w:rPr>
          <w:rFonts w:ascii="宋体" w:hAnsi="宋体" w:cs="宋体"/>
          <w:kern w:val="0"/>
          <w:sz w:val="24"/>
          <w:lang w:bidi="ar"/>
        </w:rPr>
        <w:sectPr>
          <w:headerReference r:id="rId3" w:type="default"/>
          <w:footerReference r:id="rId4" w:type="default"/>
          <w:pgSz w:w="11906" w:h="16838"/>
          <w:pgMar w:top="1440" w:right="1797" w:bottom="1440" w:left="1797" w:header="1134" w:footer="850" w:gutter="0"/>
          <w:pgBorders>
            <w:top w:val="none" w:sz="0" w:space="0"/>
            <w:left w:val="none" w:sz="0" w:space="0"/>
            <w:bottom w:val="none" w:sz="0" w:space="0"/>
            <w:right w:val="none" w:sz="0" w:space="0"/>
          </w:pgBorders>
          <w:pgNumType w:fmt="decimal"/>
          <w:cols w:space="720" w:num="1"/>
          <w:docGrid w:type="lines" w:linePitch="312" w:charSpace="0"/>
        </w:sectPr>
      </w:pPr>
    </w:p>
    <w:p w14:paraId="04D7D526">
      <w:pPr>
        <w:pStyle w:val="10"/>
        <w:keepNext w:val="0"/>
        <w:keepLines w:val="0"/>
        <w:pageBreakBefore w:val="0"/>
        <w:widowControl/>
        <w:suppressLineNumbers w:val="0"/>
        <w:shd w:val="clear" w:fill="FFFFFF"/>
        <w:kinsoku/>
        <w:wordWrap/>
        <w:overflowPunct/>
        <w:topLinePunct w:val="0"/>
        <w:autoSpaceDN/>
        <w:bidi w:val="0"/>
        <w:spacing w:before="192" w:beforeAutospacing="0" w:after="0" w:afterAutospacing="0" w:line="240" w:lineRule="auto"/>
        <w:ind w:left="0" w:leftChars="0" w:right="0" w:firstLine="0"/>
        <w:jc w:val="left"/>
        <w:rPr>
          <w:rFonts w:hint="eastAsia" w:ascii="宋体" w:hAnsi="宋体" w:eastAsia="宋体" w:cs="宋体"/>
          <w:i w:val="0"/>
          <w:iCs w:val="0"/>
          <w:caps w:val="0"/>
          <w:color w:val="0F1115"/>
          <w:spacing w:val="0"/>
          <w:sz w:val="24"/>
          <w:szCs w:val="24"/>
          <w:shd w:val="clear" w:fill="FFFFFF"/>
        </w:rPr>
      </w:pPr>
    </w:p>
    <w:p w14:paraId="261DC5BE">
      <w:pPr>
        <w:keepLines w:val="0"/>
        <w:pageBreakBefore w:val="0"/>
        <w:tabs>
          <w:tab w:val="center" w:pos="4139"/>
          <w:tab w:val="left" w:pos="7545"/>
          <w:tab w:val="right" w:leader="middleDot" w:pos="7740"/>
        </w:tabs>
        <w:kinsoku/>
        <w:wordWrap/>
        <w:overflowPunct/>
        <w:topLinePunct w:val="0"/>
        <w:autoSpaceDN/>
        <w:bidi w:val="0"/>
        <w:spacing w:line="240" w:lineRule="auto"/>
        <w:ind w:left="0" w:leftChars="0" w:firstLine="480" w:firstLineChars="200"/>
        <w:jc w:val="left"/>
        <w:outlineLvl w:val="0"/>
        <w:rPr>
          <w:rFonts w:hint="eastAsia" w:ascii="宋体" w:hAnsi="宋体" w:eastAsia="宋体" w:cs="宋体"/>
          <w:sz w:val="24"/>
          <w:szCs w:val="24"/>
        </w:rPr>
      </w:pPr>
      <w:r>
        <w:rPr>
          <w:rFonts w:hint="eastAsia" w:ascii="宋体" w:hAnsi="宋体" w:eastAsia="宋体" w:cs="宋体"/>
          <w:kern w:val="0"/>
          <w:sz w:val="24"/>
          <w:szCs w:val="24"/>
        </w:rPr>
        <w:br w:type="page"/>
      </w:r>
    </w:p>
    <w:p w14:paraId="339CBD93">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sectPr>
          <w:headerReference r:id="rId5" w:type="default"/>
          <w:pgSz w:w="12240" w:h="15840"/>
          <w:pgMar w:top="1440" w:right="1800" w:bottom="1440" w:left="1800" w:header="720" w:footer="720" w:gutter="0"/>
          <w:cols w:space="720" w:num="1"/>
        </w:sectPr>
      </w:pPr>
    </w:p>
    <w:p w14:paraId="1F21775D">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p>
    <w:p w14:paraId="774894B3">
      <w:pPr>
        <w:keepLines w:val="0"/>
        <w:pageBreakBefore w:val="0"/>
        <w:kinsoku/>
        <w:wordWrap/>
        <w:overflowPunct/>
        <w:topLinePunct w:val="0"/>
        <w:autoSpaceDN/>
        <w:bidi w:val="0"/>
        <w:spacing w:line="240" w:lineRule="auto"/>
        <w:ind w:left="0" w:leftChars="0"/>
        <w:jc w:val="left"/>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EU-BZ">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 w:name="KSOFB4AB0A6B">
    <w:panose1 w:val="020B0704020202020204"/>
    <w:charset w:val="00"/>
    <w:family w:val="auto"/>
    <w:pitch w:val="default"/>
    <w:sig w:usb0="00000001"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119BE">
    <w:pPr>
      <w:pStyle w:val="8"/>
      <w:jc w:val="center"/>
      <w:rPr>
        <w:sz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F46939">
                          <w:pPr>
                            <w:pStyle w:val="8"/>
                            <w:pBdr>
                              <w:top w:val="none" w:color="auto" w:sz="0" w:space="0"/>
                              <w:left w:val="none" w:color="auto" w:sz="0" w:space="0"/>
                              <w:bottom w:val="none" w:color="auto" w:sz="0" w:space="0"/>
                              <w:right w:val="none" w:color="auto" w:sz="0" w:space="0"/>
                              <w:between w:val="none" w:color="auto" w:sz="0" w:space="0"/>
                            </w:pBdr>
                            <w:jc w:val="center"/>
                          </w:pPr>
                          <w:r>
                            <w:rPr>
                              <w:rStyle w:val="14"/>
                              <w:sz w:val="21"/>
                            </w:rPr>
                            <w:fldChar w:fldCharType="begin"/>
                          </w:r>
                          <w:r>
                            <w:rPr>
                              <w:rStyle w:val="14"/>
                              <w:sz w:val="21"/>
                            </w:rPr>
                            <w:instrText xml:space="preserve"> PAGE </w:instrText>
                          </w:r>
                          <w:r>
                            <w:rPr>
                              <w:rStyle w:val="14"/>
                              <w:sz w:val="21"/>
                            </w:rPr>
                            <w:fldChar w:fldCharType="separate"/>
                          </w:r>
                          <w:r>
                            <w:rPr>
                              <w:rStyle w:val="14"/>
                              <w:sz w:val="21"/>
                            </w:rPr>
                            <w:t>51</w:t>
                          </w:r>
                          <w:r>
                            <w:rPr>
                              <w:rStyle w:val="14"/>
                              <w:sz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HPF6wxAgAAY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xzxesMQIAAGMEAAAOAAAAAAAAAAEAIAAAAB8BAABkcnMvZTJvRG9jLnhtbFBLBQYA&#10;AAAABgAGAFkBAADCBQAAAAA=&#10;">
              <v:fill on="f" focussize="0,0"/>
              <v:stroke on="f" weight="0.5pt"/>
              <v:imagedata o:title=""/>
              <o:lock v:ext="edit" aspectratio="f"/>
              <v:textbox inset="0mm,0mm,0mm,0mm" style="mso-fit-shape-to-text:t;">
                <w:txbxContent>
                  <w:p w14:paraId="4EF46939">
                    <w:pPr>
                      <w:pStyle w:val="8"/>
                      <w:pBdr>
                        <w:top w:val="none" w:color="auto" w:sz="0" w:space="0"/>
                        <w:left w:val="none" w:color="auto" w:sz="0" w:space="0"/>
                        <w:bottom w:val="none" w:color="auto" w:sz="0" w:space="0"/>
                        <w:right w:val="none" w:color="auto" w:sz="0" w:space="0"/>
                        <w:between w:val="none" w:color="auto" w:sz="0" w:space="0"/>
                      </w:pBdr>
                      <w:jc w:val="center"/>
                    </w:pPr>
                    <w:r>
                      <w:rPr>
                        <w:rStyle w:val="14"/>
                        <w:sz w:val="21"/>
                      </w:rPr>
                      <w:fldChar w:fldCharType="begin"/>
                    </w:r>
                    <w:r>
                      <w:rPr>
                        <w:rStyle w:val="14"/>
                        <w:sz w:val="21"/>
                      </w:rPr>
                      <w:instrText xml:space="preserve"> PAGE </w:instrText>
                    </w:r>
                    <w:r>
                      <w:rPr>
                        <w:rStyle w:val="14"/>
                        <w:sz w:val="21"/>
                      </w:rPr>
                      <w:fldChar w:fldCharType="separate"/>
                    </w:r>
                    <w:r>
                      <w:rPr>
                        <w:rStyle w:val="14"/>
                        <w:sz w:val="21"/>
                      </w:rPr>
                      <w:t>51</w:t>
                    </w:r>
                    <w:r>
                      <w:rPr>
                        <w:rStyle w:val="14"/>
                        <w:sz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C2EA4">
    <w:pPr>
      <w:pStyle w:val="9"/>
      <w:rPr>
        <w:rFonts w:hint="default" w:eastAsia="宋体"/>
        <w:u w:val="none"/>
        <w:lang w:val="en-US" w:eastAsia="zh-CN"/>
      </w:rPr>
    </w:pPr>
    <w:r>
      <w:rPr>
        <w:rFonts w:hint="eastAsia"/>
        <w:sz w:val="21"/>
        <w:u w:val="none"/>
      </w:rPr>
      <w:t xml:space="preserve"> </w:t>
    </w:r>
    <w:r>
      <w:rPr>
        <w:rFonts w:hint="eastAsia"/>
        <w:sz w:val="21"/>
      </w:rPr>
      <w:t>参考文献</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B30E2">
    <w:pPr>
      <w:pStyle w:val="9"/>
      <w:rPr>
        <w:rFonts w:hint="default" w:eastAsia="宋体"/>
        <w:sz w:val="21"/>
        <w:szCs w:val="21"/>
        <w:lang w:val="en-US" w:eastAsia="zh-CN"/>
      </w:rPr>
    </w:pPr>
    <w:r>
      <w:rPr>
        <w:rFonts w:hint="eastAsia"/>
        <w:sz w:val="21"/>
        <w:szCs w:val="21"/>
        <w:lang w:val="en-US" w:eastAsia="zh-CN"/>
      </w:rPr>
      <w:t>第3章 结果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8AFC3C"/>
    <w:multiLevelType w:val="singleLevel"/>
    <w:tmpl w:val="9E8AFC3C"/>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1A5"/>
    <w:rsid w:val="001373D9"/>
    <w:rsid w:val="005371A5"/>
    <w:rsid w:val="26882E12"/>
    <w:rsid w:val="32794A1C"/>
    <w:rsid w:val="4A8E7950"/>
    <w:rsid w:val="57435475"/>
    <w:rsid w:val="5E9D6ABF"/>
    <w:rsid w:val="62B85675"/>
    <w:rsid w:val="6A822B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iPriority="9"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18"/>
    <w:qFormat/>
    <w:uiPriority w:val="99"/>
    <w:pPr>
      <w:tabs>
        <w:tab w:val="center" w:pos="4139"/>
        <w:tab w:val="left" w:pos="7545"/>
        <w:tab w:val="right" w:leader="middleDot" w:pos="7740"/>
      </w:tabs>
      <w:spacing w:before="480" w:after="360"/>
      <w:jc w:val="center"/>
      <w:outlineLvl w:val="0"/>
    </w:pPr>
    <w:rPr>
      <w:rFonts w:ascii="黑体" w:eastAsia="黑体"/>
      <w:b/>
      <w:sz w:val="32"/>
      <w:szCs w:val="32"/>
    </w:rPr>
  </w:style>
  <w:style w:type="paragraph" w:styleId="3">
    <w:name w:val="heading 2"/>
    <w:basedOn w:val="1"/>
    <w:next w:val="1"/>
    <w:link w:val="19"/>
    <w:qFormat/>
    <w:uiPriority w:val="99"/>
    <w:pPr>
      <w:spacing w:before="480" w:after="120"/>
      <w:jc w:val="left"/>
      <w:outlineLvl w:val="1"/>
    </w:pPr>
    <w:rPr>
      <w:rFonts w:ascii="黑体" w:eastAsia="黑体"/>
      <w:bCs/>
      <w:sz w:val="30"/>
      <w:szCs w:val="30"/>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120"/>
      <w:outlineLvl w:val="3"/>
    </w:pPr>
    <w:rPr>
      <w:sz w:val="24"/>
    </w:rPr>
  </w:style>
  <w:style w:type="character" w:default="1" w:styleId="12">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6"/>
    <w:unhideWhenUsed/>
    <w:qFormat/>
    <w:uiPriority w:val="99"/>
    <w:pPr>
      <w:spacing w:line="400" w:lineRule="exact"/>
      <w:ind w:firstLine="480" w:firstLineChars="200"/>
    </w:pPr>
    <w:rPr>
      <w:rFonts w:hAnsi="Calibri"/>
      <w:sz w:val="24"/>
      <w:szCs w:val="24"/>
    </w:rPr>
  </w:style>
  <w:style w:type="paragraph" w:styleId="7">
    <w:name w:val="Body Text Indent"/>
    <w:basedOn w:val="1"/>
    <w:link w:val="22"/>
    <w:unhideWhenUsed/>
    <w:qFormat/>
    <w:uiPriority w:val="99"/>
    <w:pPr>
      <w:spacing w:line="300" w:lineRule="auto"/>
      <w:ind w:firstLine="560" w:firstLineChars="200"/>
    </w:pPr>
    <w:rPr>
      <w:sz w:val="28"/>
      <w:szCs w:val="28"/>
    </w:rPr>
  </w:style>
  <w:style w:type="paragraph" w:styleId="8">
    <w:name w:val="footer"/>
    <w:basedOn w:val="1"/>
    <w:link w:val="29"/>
    <w:unhideWhenUsed/>
    <w:qFormat/>
    <w:uiPriority w:val="99"/>
    <w:pPr>
      <w:tabs>
        <w:tab w:val="center" w:pos="4153"/>
        <w:tab w:val="right" w:pos="8306"/>
      </w:tabs>
      <w:snapToGrid w:val="0"/>
      <w:jc w:val="left"/>
    </w:pPr>
    <w:rPr>
      <w:sz w:val="18"/>
      <w:szCs w:val="18"/>
    </w:rPr>
  </w:style>
  <w:style w:type="paragraph" w:styleId="9">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unhideWhenUsed/>
    <w:qFormat/>
    <w:uiPriority w:val="99"/>
    <w:pPr>
      <w:spacing w:before="100" w:beforeAutospacing="1" w:after="100" w:afterAutospacing="1"/>
      <w:jc w:val="left"/>
    </w:pPr>
    <w:rPr>
      <w:kern w:val="0"/>
      <w:sz w:val="24"/>
      <w:szCs w:val="24"/>
    </w:rPr>
  </w:style>
  <w:style w:type="character" w:styleId="13">
    <w:name w:val="Strong"/>
    <w:basedOn w:val="12"/>
    <w:qFormat/>
    <w:uiPriority w:val="0"/>
    <w:rPr>
      <w:b/>
    </w:rPr>
  </w:style>
  <w:style w:type="character" w:styleId="14">
    <w:name w:val="page number"/>
    <w:basedOn w:val="12"/>
    <w:qFormat/>
    <w:uiPriority w:val="0"/>
  </w:style>
  <w:style w:type="character" w:styleId="15">
    <w:name w:val="FollowedHyperlink"/>
    <w:basedOn w:val="12"/>
    <w:unhideWhenUsed/>
    <w:qFormat/>
    <w:uiPriority w:val="99"/>
    <w:rPr>
      <w:color w:val="800080"/>
      <w:u w:val="single"/>
    </w:rPr>
  </w:style>
  <w:style w:type="character" w:styleId="16">
    <w:name w:val="Emphasis"/>
    <w:basedOn w:val="12"/>
    <w:qFormat/>
    <w:uiPriority w:val="20"/>
    <w:rPr>
      <w:i/>
    </w:rPr>
  </w:style>
  <w:style w:type="character" w:styleId="17">
    <w:name w:val="Hyperlink"/>
    <w:basedOn w:val="12"/>
    <w:unhideWhenUsed/>
    <w:qFormat/>
    <w:uiPriority w:val="99"/>
    <w:rPr>
      <w:color w:val="0000FF"/>
      <w:u w:val="single"/>
    </w:rPr>
  </w:style>
  <w:style w:type="character" w:customStyle="1" w:styleId="18">
    <w:name w:val="标题 1 字符"/>
    <w:basedOn w:val="12"/>
    <w:link w:val="2"/>
    <w:qFormat/>
    <w:uiPriority w:val="99"/>
    <w:rPr>
      <w:rFonts w:ascii="黑体" w:hAnsi="Times New Roman" w:eastAsia="黑体" w:cs="Times New Roman"/>
      <w:b/>
      <w:sz w:val="32"/>
      <w:szCs w:val="32"/>
    </w:rPr>
  </w:style>
  <w:style w:type="character" w:customStyle="1" w:styleId="19">
    <w:name w:val="标题 2 字符"/>
    <w:basedOn w:val="12"/>
    <w:link w:val="3"/>
    <w:qFormat/>
    <w:uiPriority w:val="99"/>
    <w:rPr>
      <w:rFonts w:ascii="黑体" w:hAnsi="Times New Roman" w:eastAsia="黑体" w:cs="Times New Roman"/>
      <w:bCs/>
      <w:sz w:val="30"/>
      <w:szCs w:val="30"/>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21">
    <w:name w:val="目录标题"/>
    <w:basedOn w:val="1"/>
    <w:next w:val="1"/>
    <w:qFormat/>
    <w:uiPriority w:val="0"/>
    <w:pPr>
      <w:spacing w:before="480" w:after="360"/>
      <w:jc w:val="center"/>
    </w:pPr>
    <w:rPr>
      <w:rFonts w:ascii="黑体" w:hAnsi="黑体" w:eastAsia="黑体" w:cs="Arial"/>
      <w:b/>
      <w:bCs/>
      <w:sz w:val="32"/>
      <w:szCs w:val="32"/>
    </w:rPr>
  </w:style>
  <w:style w:type="character" w:customStyle="1" w:styleId="22">
    <w:name w:val="正文文本缩进 字符"/>
    <w:basedOn w:val="12"/>
    <w:link w:val="7"/>
    <w:qFormat/>
    <w:uiPriority w:val="99"/>
    <w:rPr>
      <w:rFonts w:ascii="Times New Roman" w:hAnsi="Times New Roman" w:eastAsia="宋体" w:cs="Times New Roman"/>
      <w:sz w:val="28"/>
      <w:szCs w:val="28"/>
    </w:rPr>
  </w:style>
  <w:style w:type="paragraph" w:customStyle="1" w:styleId="23">
    <w:name w:val="[系统文字]"/>
    <w:basedOn w:val="1"/>
    <w:qFormat/>
    <w:uiPriority w:val="0"/>
    <w:pPr>
      <w:widowControl/>
    </w:pPr>
    <w:rPr>
      <w:rFonts w:ascii="Calibri" w:hAnsi="NEU-BZ"/>
      <w:kern w:val="0"/>
      <w:sz w:val="22"/>
      <w:szCs w:val="22"/>
    </w:rPr>
  </w:style>
  <w:style w:type="paragraph" w:customStyle="1" w:styleId="24">
    <w:name w:val="41正文样式"/>
    <w:basedOn w:val="23"/>
    <w:qFormat/>
    <w:uiPriority w:val="0"/>
    <w:pPr>
      <w:ind w:firstLine="200" w:firstLineChars="200"/>
    </w:pPr>
  </w:style>
  <w:style w:type="paragraph" w:customStyle="1" w:styleId="25">
    <w:name w:val="目录 11"/>
    <w:basedOn w:val="1"/>
    <w:next w:val="1"/>
    <w:qFormat/>
    <w:uiPriority w:val="0"/>
    <w:pPr>
      <w:tabs>
        <w:tab w:val="right" w:leader="dot" w:pos="8268"/>
      </w:tabs>
      <w:spacing w:before="100" w:beforeAutospacing="1" w:after="100" w:afterAutospacing="1" w:line="360" w:lineRule="exact"/>
      <w:ind w:left="420" w:leftChars="200"/>
      <w:jc w:val="distribute"/>
    </w:pPr>
    <w:rPr>
      <w:rFonts w:ascii="宋体" w:hAnsi="宋体"/>
      <w:bCs/>
      <w:sz w:val="24"/>
      <w:szCs w:val="24"/>
    </w:rPr>
  </w:style>
  <w:style w:type="character" w:customStyle="1" w:styleId="26">
    <w:name w:val="正文文本 字符"/>
    <w:basedOn w:val="12"/>
    <w:link w:val="6"/>
    <w:qFormat/>
    <w:uiPriority w:val="99"/>
    <w:rPr>
      <w:rFonts w:ascii="Times New Roman" w:hAnsi="Calibri" w:eastAsia="宋体" w:cs="Times New Roman"/>
      <w:sz w:val="24"/>
      <w:szCs w:val="24"/>
    </w:rPr>
  </w:style>
  <w:style w:type="paragraph" w:customStyle="1" w:styleId="27">
    <w:name w:val="表格标题"/>
    <w:basedOn w:val="1"/>
    <w:next w:val="1"/>
    <w:qFormat/>
    <w:uiPriority w:val="0"/>
    <w:pPr>
      <w:spacing w:before="120" w:after="120"/>
      <w:jc w:val="center"/>
    </w:pPr>
  </w:style>
  <w:style w:type="character" w:customStyle="1" w:styleId="28">
    <w:name w:val="页眉 字符"/>
    <w:basedOn w:val="12"/>
    <w:link w:val="9"/>
    <w:qFormat/>
    <w:uiPriority w:val="99"/>
    <w:rPr>
      <w:rFonts w:ascii="Times New Roman" w:hAnsi="Times New Roman" w:eastAsia="宋体" w:cs="Times New Roman"/>
      <w:sz w:val="18"/>
      <w:szCs w:val="18"/>
    </w:rPr>
  </w:style>
  <w:style w:type="character" w:customStyle="1" w:styleId="29">
    <w:name w:val="页脚 字符"/>
    <w:basedOn w:val="12"/>
    <w:link w:val="8"/>
    <w:qFormat/>
    <w:uiPriority w:val="99"/>
    <w:rPr>
      <w:rFonts w:ascii="Times New Roman" w:hAnsi="Times New Roman" w:eastAsia="宋体" w:cs="Times New Roman"/>
      <w:sz w:val="18"/>
      <w:szCs w:val="18"/>
    </w:rPr>
  </w:style>
  <w:style w:type="character" w:customStyle="1" w:styleId="30">
    <w:name w:val="10"/>
    <w:basedOn w:val="12"/>
    <w:qFormat/>
    <w:uiPriority w:val="0"/>
    <w:rPr>
      <w:rFonts w:hint="default" w:ascii="Times New Roman" w:hAnsi="Times New Roman" w:cs="Times New Roman"/>
    </w:rPr>
  </w:style>
  <w:style w:type="character" w:customStyle="1" w:styleId="31">
    <w:name w:val="15"/>
    <w:basedOn w:val="12"/>
    <w:qFormat/>
    <w:uiPriority w:val="0"/>
    <w:rPr>
      <w:rFonts w:hint="default" w:ascii="Times New Roman" w:hAnsi="Times New Roman" w:cs="Times New Roman"/>
      <w:color w:val="0000FF"/>
      <w:u w:val="single"/>
    </w:rPr>
  </w:style>
  <w:style w:type="character" w:customStyle="1" w:styleId="32">
    <w:name w:val="16"/>
    <w:basedOn w:val="12"/>
    <w:qFormat/>
    <w:uiPriority w:val="0"/>
    <w:rPr>
      <w:rFonts w:hint="default" w:ascii="Times New Roman" w:hAnsi="Times New Roman" w:cs="Times New Roman"/>
      <w:b/>
    </w:rPr>
  </w:style>
  <w:style w:type="character" w:customStyle="1" w:styleId="33">
    <w:name w:val="17"/>
    <w:basedOn w:val="12"/>
    <w:qFormat/>
    <w:uiPriority w:val="0"/>
    <w:rPr>
      <w:rFonts w:hint="default" w:ascii="Times New Roman" w:hAnsi="Times New Roman" w:cs="Times New Roman"/>
      <w:color w:val="000000"/>
      <w:sz w:val="20"/>
      <w:szCs w:val="20"/>
      <w:vertAlign w:val="superscript"/>
    </w:rPr>
  </w:style>
  <w:style w:type="character" w:customStyle="1" w:styleId="34">
    <w:name w:val="18"/>
    <w:basedOn w:val="12"/>
    <w:qFormat/>
    <w:uiPriority w:val="0"/>
    <w:rPr>
      <w:rFonts w:hint="default" w:ascii="Times New Roman" w:hAnsi="Times New Roman" w:cs="Times New Roman"/>
      <w:color w:val="000000"/>
      <w:sz w:val="20"/>
      <w:szCs w:val="20"/>
      <w:vertAlign w:val="superscript"/>
    </w:rPr>
  </w:style>
  <w:style w:type="character" w:customStyle="1" w:styleId="35">
    <w:name w:val="19"/>
    <w:basedOn w:val="12"/>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2086</Words>
  <Characters>3163</Characters>
  <Lines>203</Lines>
  <Paragraphs>57</Paragraphs>
  <TotalTime>1</TotalTime>
  <ScaleCrop>false</ScaleCrop>
  <LinksUpToDate>false</LinksUpToDate>
  <CharactersWithSpaces>3312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2026-04-07T08:41:00Z</dcterms:created>
  <dc:creator>wu cuihua</dc:creator>
  <cp:lastModifiedBy>竹林风</cp:lastModifiedBy>
  <dcterms:modified xsi:type="dcterms:W3CDTF">2026-06-17T09:07:43Z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eyJoZGlkIjoiODc5YWE4YTc2YzM5ZmZmN2VlZWYyZTc1MGM2NGJjN2IiLCJ1c2VySWQiOiIzMTE4MDEwNjMifQ==</vt:lpwstr>
  </property>
  <property fmtid="{D5CDD505-2E9C-101B-9397-08002B2CF9AE}" pid="3" name="KSOProductBuildVer">
    <vt:lpwstr>2052-12.1.0.26895</vt:lpwstr>
  </property>
  <property fmtid="{D5CDD505-2E9C-101B-9397-08002B2CF9AE}" pid="4" name="ICV">
    <vt:lpwstr>DBBFB24D275B440A80C9AA6AACD574E9_12</vt:lpwstr>
  </property>
</Properties>
</file>