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ascii="Times New Roman" w:hAnsi="Times New Roman" w:eastAsia="黑体"/>
        </w:rPr>
      </w:pPr>
    </w:p>
    <w:p>
      <w:pPr>
        <w:pStyle w:val="31"/>
      </w:pPr>
      <w:r>
        <w:rPr>
          <w:rFonts w:ascii="Times New Roman" w:hAnsi="Times New Roman" w:eastAsia="黑体"/>
        </w:rPr>
        <w:t>temple财务分析报告</w:t>
      </w:r>
    </w:p>
    <w:p>
      <w:pPr>
        <w:pStyle w:val="4"/>
      </w:pPr>
      <w:r>
        <w:rPr>
          <w:rFonts w:ascii="Times Nwe Roman" w:hAnsi="Times Nwe Roman" w:eastAsia="宋体"/>
        </w:rPr>
        <w:t>一、财务报表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项目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前3年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前2年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前1年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货币资金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631,946.89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823,772.47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1,233,317.60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759,978.73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23,027.96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837,822.22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698,100.08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594,553.17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535,020.96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90,636.31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202,990.91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407,933.27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439,258.81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3,504,104.41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4,048,888.99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3,824,783.29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4,652,958.31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258,236.55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16,094.34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27,776.87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25,725.56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合同资产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165,618.17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111,463.91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377,601.54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其他流动资产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5,070.69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6,383.92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31,426.62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23,119.99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5,351,477.08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5,984,876.83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6,231,354.72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6,813,763.90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122,644.71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129,563.01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68,174.47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69,606.21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长期股权投资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2,960,334.96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3,878,418.78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4,811,769.29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5,609,222.94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其他权益工具投资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450,814.32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69,977.76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97,017.71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108,975.08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其他非流动金融资产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357000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396,309.82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416,793.25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442,961.55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固定资产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34,337.91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30,116.05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30,778.11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24,960.35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使用权资产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149.14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223.95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无形资产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22,645.31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22,180.19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21,163.81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20,435.29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开发支出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3,020.54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3,560.51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5,100.24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5,408.05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长期待摊费用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1,108.71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887.67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243.29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286.61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549.74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595.18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626.82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703.37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3,952,456.20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4,558,608.98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5,451,816.13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6,430,222.83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资产总计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9,303,933.28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10,543,485.82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11,683,170.85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13,243,986.73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1206871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1,998,174.96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1,586,695.40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1,594,932.66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167,620.96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189,607.92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22,728.59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1,054,901.54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949,054.43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956,854.69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1,106,249.08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合同负债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134,503.11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309,696.67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294,659.35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应付职工薪酬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9,379.24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7,767.11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7,766.15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8,366.03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应交税费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53,692.79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38,816.76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26,481.94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44,429.07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其他应付款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1,603,126.47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2,041,685.04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3,062,789.99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2,901,611.73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一年内到期的非流动负债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538480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525384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148789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1040139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603750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4,523,985.46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5,863,006.36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6,288,681.76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7,616,865.52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146100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535300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421100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940550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应付债券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1115000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760000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1100000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400000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租赁负债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98.43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213.12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12,981.37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20,304.75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15,295.83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21,350.85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1,278,840.37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1,314,980.83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1,545,980.18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1,367,272.87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5,802,825.83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7,177,987.20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7,834,661.94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8,984,138.39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实收资本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460,477.74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460,477.74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460,477.74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460,477.74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其他权益工具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1600000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1600000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2150000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2250000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资本公积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646,341.40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627,895.09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618,035.74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614,047.42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其他综合收益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71,725.56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39,610.34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62,679.20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73,114.79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专项储备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168.83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168.83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1,665.71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5,767.46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盈余公积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148,926.80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158,294.47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165,212.71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165,212.71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未分配利润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573,467.10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479,052.14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390,437.82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691,228.22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所有者权益合计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3,501,107.44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3,365,498.62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3,848,508.92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4,259,848.34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1,705,051.38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1,730,983.47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2,263,606.71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1,832,740.57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营业成本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1,547,934.44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1,559,580.64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2,069,774.11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1,579,802.49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税金及附加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6,111.63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7,402.13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2,313.37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2,667.25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管理费用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77,943.82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65,422.25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58,625.33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36,372.57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研发费用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31,960.90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65,927.47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57,384.53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财务费用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-22,166.90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7,648.65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26,601.25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-18,119.29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218,300.76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28,324.13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24,261.85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288,618.52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公允价值变动收益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-4918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728" w:type="dxa"/>
          </w:tcPr>
          <w:p>
            <w:pPr>
              <w:spacing w:after="0" w:line="240" w:lineRule="auto"/>
            </w:pPr>
            <w:r>
              <w:t>信用减值损失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-302.96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-208.73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-510.40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资产处置收益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383.54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2,223.66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314,986.43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127,595.56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70,696.80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460,056.94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92.98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1,001.55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营业外支出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621.87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293.80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883.50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123.75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利润总额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314,457.54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127,325.87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70,342.30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460,934.73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所得税费用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27,001.64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33,649.19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1,159.88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23,029.81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284,351.65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93,676.68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69,182.41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437,904.93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2,155,248.74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3,153,882.02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3,750,126.91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2,462,182.12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销售带来的现金流入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1,281,595.12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1,822,822.59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2,588,421.13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1,770,320.95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1,956,028.85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2,848,354.23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3,243,082.79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2,512,308.22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199,219.90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305,527.80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507,044.12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-50,126.10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879,561.41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508,003.35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63,948.86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25,187.86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412,878.81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545,794.11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680,565.86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932,537.60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466,682.60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-37,790.75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-616,617.01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-907,349.74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2,229,518.16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4,771,952.24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5,435,461.48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3,310,737.02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2,969,703.43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4,850,711.93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4,917,206.17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2,826,391.65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-740,185.27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-78,759.68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518,255.31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484,345.37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-80,509.87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191,825.58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409,545.13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-473,339.11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资产负债率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68.08%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67.84%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速动比率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EBIT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293,399.35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135,862.19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97,186.84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443,102.06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利息保障倍数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-13.24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-24.45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3,599,811.41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4,258,263.82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4,264,143.18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5,115,337.11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1,117,973.57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995,638.30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991,102.78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1,159,044.19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营运资金需求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2,481,837.84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3,262,625.52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3,273,040.40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3,956,292.92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827,491.62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121,870.47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-57,327.04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-803,101.61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5.86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176.90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145.19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94.56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105.09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毛利率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18.47%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25.10%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5.41%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23.89%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总资产收益率(ROA)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3.06%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0.59%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3.31%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净资产收益率(ROE)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8.12%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1.80%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10.28%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短债占比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81.68%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80.27%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84.78%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刚性负债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3006451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3,818,858.96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3,256,584.40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3,975,621.66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刚兑占比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51.81%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53.20%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41.57%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44.25%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短期刚兑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1745351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2,523,558.96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1,735,484.40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2,635,071.66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期间费用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55,776.92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105,031.80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151,154.05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75,637.81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费用收入比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3.27%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4.13%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56.76%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53.34%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51.45%</w:t>
            </w:r>
          </w:p>
        </w:tc>
      </w:tr>
    </w:tbl>
    <w:p>
      <w:r>
        <w:t>:::::::请调整成自己喜欢的表格样式::::::</w:t>
      </w:r>
    </w:p>
    <w:p>
      <w:pPr>
        <w:pStyle w:val="4"/>
      </w:pPr>
      <w:r>
        <w:rPr>
          <w:rFonts w:ascii="Times Nwe Roman" w:hAnsi="Times Nwe Roman" w:eastAsia="宋体"/>
        </w:rPr>
        <w:t>二、财务分析</w:t>
      </w:r>
    </w:p>
    <w:p>
      <w:pPr>
        <w:pStyle w:val="5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5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9,303,933.28万元、10,543,485.82万元、11,683,170.85万元和13,243,986.73万元；总负债分别为5,802,825.83万元、7,177,987.20万元、7,834,661.94万元和8,984,138.39万元；资产负债率分别为62.37%、68.08%、67.06%和67.84%。整体来看，申请人资产负债率在0.66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4,523,985.46万元、5,863,006.36万元、6,288,681.76万元和7,616,865.52万元，短期负债占比分别为77.96%、81.68%、80.27%和84.78%。刚性负债(短期借款+一年内到期的长期负债+应付债券+长期借款)分别为3,006,451.00万元、3,818,858.96万元、3,256,584.40万元和3,975,621.66万元。刚性负债占比分别为51.81%、53.20%、41.57%和44.25%。短期内需要刚性兑付的债务为2,635,071.66万元，主要为短期借款1,594,932.66万元，一年内到期的非流动负债1,040,139.00万元。总体来看，公司刚性债务带来的偿债压力【较大\在合理范围内\较小，根据实际情况自行评价】。</w:t>
      </w:r>
    </w:p>
    <w:p>
      <w:pPr>
        <w:pStyle w:val="5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持续三年增长，平均增长率为16.38%，盈利能力有所波动，前三年分别实现营业收入1,705,051.38万元、1,730,983.47万元和2,263,606.71万元，营业成本1,547,934.44万元、1,559,580.64万元和2,069,774.11万元，毛利率分别为18.47%、7.37%和3.12%，期间费用分别为55,776.92万元、105,031.80万元和151,154.05万元，费用收入比分别为3.27%、6.07%和6.68%，实现净利润284,351.65万元、93,676.68万元和69,182.41万元，净利润率分别为16.68%、5.41%和3.06%。最近一期，申请人实现营业收入1,832,740.57万元，营业成本1,579,802.49万元，毛利率25.10%，期间费用合计75,637.81万元，投资收益288,618.52万元，净利润率23.89%。总体来看，申请人盈利能力【相对较好/稳定/较弱，根据实际情况自行评价】</w:t>
      </w:r>
    </w:p>
    <w:p>
      <w:pPr>
        <w:pStyle w:val="5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-80,509.87万元、191,825.58万元和409,545.13万元。其中：经营活动现金净流入0.00万元、0.00万元和0.00万元；投资活动现金净流入466,682.60万元、-37,790.75万元和-616,617.01万元；筹资活动现金净流入-740,185.27万元、-78,759.68万元和518,255.31万元。总体来看，申请人盈利能力【请根据实际情况自行评价】</w:t>
      </w:r>
    </w:p>
    <w:p>
      <w:pPr>
        <w:pStyle w:val="5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5,351,477.08万元、5,984,876.83万元、6,231,354.72万元和6,813,763.90万元，在总资产构成中流动资产占比分别57.52%、56.76%、53.34%和51.45%，【&gt;&gt;&gt;简要分析&lt;&lt;&lt;】。上年末，主要资产构成为长期股权投资、其他应收款、货币资金、应收账款、其他非流动金融资产，在总资产构成中的占比分别为41.19%、32.74%、10.56%、5.09%、3.57%。【请根据实际情况自行评价】。</w:t>
      </w:r>
    </w:p>
    <w:p>
      <w:pPr>
        <w:pStyle w:val="5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1.18、1.02、0.99和0.89，三年平均值为1.02，较年初变化-0.10；申请人近三年及最近一期速动比率分别为1.13、1.02、0.99和0.89，三年平均值为1.01，较年初变化-0.10。【请根据实际情况自行评价】。</w:t>
      </w:r>
    </w:p>
    <w:p>
      <w:pPr>
        <w:pStyle w:val="5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科目名称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当期值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较年初变化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变化率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变化情况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603,750.00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603,750.00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当期净增加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一年内到期的非流动负债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1,040,139.00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891,350.00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599.07%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940,550.00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519,450.00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123.36%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合同资产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377,601.54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266,137.63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238.77%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应交税费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44,429.07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17,947.13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67.77%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21,350.85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6,055.02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39.59%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租赁负债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213.12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114.69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116.52%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使用权资产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223.95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74.81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50.16%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-4,477.00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-100.00%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22,728.59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-166,879.33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-88.01%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货币资金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759,978.73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-473,338.87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-38.38%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应付债券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400,000.00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-700,000.00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-63.64%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</w:tbl>
    <w:p>
      <w:pPr>
        <w:pStyle w:val="5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【货币资金】：当期余额1,233,317.60万元，在总资产中占比10.56%，较上年增加-473338.87万元，当年增幅为-38.38%。其中现金【】万元，银行存款【】万元、其他货币资金【】万元。</w:t>
      </w:r>
    </w:p>
    <w:p>
      <w:pPr>
        <w:ind w:firstLine="480"/>
        <w:jc w:val="both"/>
      </w:pPr>
      <w:r>
        <w:t>【应收票据】：当期余额100.00万元，在总资产中占比0.00%，较上年增加0.00万元，当年增幅为0.00%。其中银行承兑汇票【】万元，商业承兑汇票【】万元。</w:t>
      </w:r>
    </w:p>
    <w:p>
      <w:pPr>
        <w:ind w:firstLine="480"/>
        <w:jc w:val="both"/>
      </w:pPr>
      <w:r>
        <w:t>【应收账款】：当期余额594,553.17万元，在总资产中占比5.09%，较上年增加-59532.21万元，当年增幅为-10.01%。账面余额【】万元、计提坏账准备【】万元，账龄1年以内占比【】%，3年以上占比【】%。其中，应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【预付账款】：当期余额407,933.27万元，在总资产中占比3.49%，较上年增加31325.54万元，当年增幅为7.68%。账龄1年以内占比【】%，3年以上占比【】%。其中，预收账款前五位：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【其他应收款】：当期余额3,824,783.29万元，在总资产中占比32.74%，较上年增加828175.02万元，当年增幅为21.65%。账面余额【】万元、计提坏账准备【】万元。其中，其他应付款前五位：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余额(万元)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款项性质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【存货】：当期余额27,776.87万元，在总资产中占比0.24%，较上年增加-2051.31万元，当年增幅为-7.38%。其中，原材料【】万元、库存商品【】万元、周转材料【】万元、工程施工【】万元、开发成本【】万元。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【合同资产】：当期余额111,463.91万元，在总资产中占比0.95%，较上年增加266137.63万元，当年增幅为238.77%。</w:t>
      </w:r>
    </w:p>
    <w:p>
      <w:pPr>
        <w:ind w:firstLine="480"/>
        <w:jc w:val="both"/>
      </w:pPr>
      <w:r>
        <w:t>【其他流动资产】：当期余额31,426.62万元，在总资产中占比0.27%，较上年增加-8306.63万元，当年增幅为-26.43%。其中【添加明细】。</w:t>
      </w:r>
    </w:p>
    <w:p>
      <w:pPr>
        <w:ind w:firstLine="480"/>
        <w:jc w:val="both"/>
      </w:pPr>
      <w:r>
        <w:t>【长期应收款】：当期余额68,174.47万元，在总资产中占比0.58%，较上年增加1431.74万元，当年增幅为2.10%。</w:t>
      </w:r>
    </w:p>
    <w:p>
      <w:pPr>
        <w:ind w:firstLine="480"/>
        <w:jc w:val="both"/>
      </w:pPr>
      <w:r>
        <w:t>【长期股权投资】：当期余额4,811,769.29万元，在总资产中占比41.19%，较上年增加797453.65万元，当年增幅为16.57%。系对【N】家企业的投资，本期主要新增【哪家公司】；对外投资前五位如下：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投资额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投资性质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【其他权益工具投资】：当期余额97,017.71万元，在总资产中占比0.83%，较上年增加11957.37万元，当年增幅为12.32%。</w:t>
      </w:r>
    </w:p>
    <w:p>
      <w:pPr>
        <w:ind w:firstLine="480"/>
        <w:jc w:val="both"/>
      </w:pPr>
      <w:r>
        <w:t>【其他非流动金融资产】：当期余额416,793.25万元，在总资产中占比3.57%，较上年增加26168.30万元，当年增幅为6.28%。</w:t>
      </w:r>
    </w:p>
    <w:p>
      <w:pPr>
        <w:ind w:firstLine="480"/>
        <w:jc w:val="both"/>
      </w:pPr>
      <w:r>
        <w:t>【固定资产】：当期余额30,778.11万元，在总资产中占比0.26%，较上年增加-5817.76万元，当年增幅为-18.90%。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【使用权资产】：当期余额149.14万元，在总资产中占比0.00%，较上年增加74.81万元，当年增幅为50.16%。</w:t>
      </w:r>
    </w:p>
    <w:p>
      <w:pPr>
        <w:ind w:firstLine="480"/>
        <w:jc w:val="both"/>
      </w:pPr>
      <w:r>
        <w:t>【无形资产】：当期余额21,163.81万元，在总资产中占比0.18%，较上年增加-728.52万元，当年增幅为-3.44%。主要为土地使用权【】万元、采矿权【】万元、专利权【】万元、软件【】万元，其他【】万元。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【开发支出】：当期余额5,100.24万元，在总资产中占比0.04%，较上年增加307.81万元，当年增幅为6.04%。</w:t>
      </w:r>
    </w:p>
    <w:p>
      <w:pPr>
        <w:ind w:firstLine="480"/>
        <w:jc w:val="both"/>
      </w:pPr>
      <w:r>
        <w:t>【长期待摊费用】：当期余额243.29万元，在总资产中占比0.00%，较上年增加43.32万元，当年增幅为17.81%。</w:t>
      </w:r>
    </w:p>
    <w:p>
      <w:pPr>
        <w:ind w:firstLine="480"/>
        <w:jc w:val="both"/>
      </w:pPr>
      <w:r>
        <w:t>【递延所得税资产】：当期余额626.82万元，在总资产中占比0.01%，较上年增加76.55万元，当年增幅为12.21%。</w:t>
      </w:r>
    </w:p>
    <w:p>
      <w:pPr>
        <w:ind w:firstLine="480"/>
        <w:jc w:val="both"/>
      </w:pPr>
      <w:r>
        <w:t>【短期借款】：当期余额1,586,695.40万元，在总负债中占比20.25%，较上年增加8237.26万元，当年增幅为0.52%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【应付票据】：当期余额189,607.92万元，在总负债中占比2.42%，较上年增加-166879.33万元，当年增幅为-88.01%。主要为银行承兑汇票【】万元，商业承兑汇票【】万元。</w:t>
      </w:r>
    </w:p>
    <w:p>
      <w:pPr>
        <w:ind w:firstLine="480"/>
        <w:jc w:val="both"/>
      </w:pPr>
      <w:r>
        <w:t>【应付账款】：当期余额956,854.69万元，在总负债中占比12.21%，较上年增加149394.39万元，当年增幅为15.61%。其中应付材料款【】万元，应付工程款【】万元。其中前五名如下：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【合同负债】：当期余额309,696.67万元，在总负债中占比3.95%，较上年增加-15037.32万元，当年增幅为-4.86%。</w:t>
      </w:r>
    </w:p>
    <w:p>
      <w:pPr>
        <w:ind w:firstLine="480"/>
        <w:jc w:val="both"/>
      </w:pPr>
      <w:r>
        <w:t>【应付职工薪酬】：当期余额7,766.15万元，在总负债中占比0.10%，较上年增加599.88万元，当年增幅为7.72%。</w:t>
      </w:r>
    </w:p>
    <w:p>
      <w:pPr>
        <w:ind w:firstLine="480"/>
        <w:jc w:val="both"/>
      </w:pPr>
      <w:r>
        <w:t>【应交税费】：当期余额26,481.94万元，在总负债中占比0.34%，较上年增加17947.13万元，当年增幅为67.77%。</w:t>
      </w:r>
    </w:p>
    <w:p>
      <w:pPr>
        <w:ind w:firstLine="480"/>
        <w:jc w:val="both"/>
      </w:pPr>
      <w:r>
        <w:t>【其他应付款】：当期余额3,062,789.99万元，在总负债中占比39.09%，较上年增加-161178.26万元，当年增幅为-5.26%。应付利息【】万元，往来款【】万元，押金和保证金【】万元，其中前5名如下：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账龄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【一年内到期的非流动负债】：当期余额148,789.00万元，在总负债中占比1.90%，较上年增加891350.00万元，当年增幅为599.07%。</w:t>
      </w:r>
    </w:p>
    <w:p>
      <w:pPr>
        <w:ind w:firstLine="480"/>
        <w:jc w:val="both"/>
      </w:pPr>
      <w:r>
        <w:t>【其他流动负债】：当期余额0.00万元，在总负债中占比0.00%，较上年增加603750.00万元，为净新增。主要为【】</w:t>
      </w:r>
    </w:p>
    <w:p>
      <w:pPr>
        <w:ind w:firstLine="480"/>
        <w:jc w:val="both"/>
      </w:pPr>
      <w:r>
        <w:t>【长期借款】：当期余额421,100.00万元，在总负债中占比5.37%，较上年增加519450.00万元，当年增幅为123.36%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【应付债券】：当期余额1,100,000.00万元，在总负债中占比14.04%，较上年增加-700000.00万元，当年增幅为-63.64%。主要为【】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债券名称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到期日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【租赁负债】：当期余额98.43万元，在总负债中占比0.00%，较上年增加114.69万元，当年增幅为116.52%。</w:t>
      </w:r>
    </w:p>
    <w:p>
      <w:pPr>
        <w:ind w:firstLine="480"/>
        <w:jc w:val="both"/>
      </w:pPr>
      <w:r>
        <w:t>【递延所得税负债】：当期余额15,295.83万元，在总负债中占比0.20%，较上年增加6055.02万元，当年增幅为39.59%。</w:t>
      </w:r>
    </w:p>
    <w:p>
      <w:r>
        <w:drawing>
          <wp:inline distT="0" distB="0" distL="114300" distR="114300">
            <wp:extent cx="2057400" cy="2059305"/>
            <wp:effectExtent l="0" t="0" r="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后期开发计划是增加各个行业的行业分析，扫码赞赏可以加快开发速度哦，感谢</w:t>
      </w:r>
      <w:bookmarkStart w:id="0" w:name="_GoBack"/>
      <w:bookmarkEnd w:id="0"/>
      <w:r>
        <w:rPr>
          <w:b/>
        </w:rPr>
        <w:t>您的支持！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 Nwe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xMmY0YzhiMmM4ZjUxYWE2ZjljNTUzMjk1MWU2MDE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F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4147</Words>
  <Characters>8762</Characters>
  <Lines>0</Lines>
  <Paragraphs>0</Paragraphs>
  <TotalTime>589</TotalTime>
  <ScaleCrop>false</ScaleCrop>
  <LinksUpToDate>false</LinksUpToDate>
  <CharactersWithSpaces>8762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杨佳琪</cp:lastModifiedBy>
  <dcterms:modified xsi:type="dcterms:W3CDTF">2022-06-23T13:54:19Z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E87945C7895D475988D90A76FBE12764</vt:lpwstr>
  </property>
</Properties>
</file>