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E79"/>
          <w:sz w:val="48"/>
        </w:rPr>
        <w:t>⚡ FPU固定回線 総合管理システム</w:t>
      </w:r>
    </w:p>
    <w:p>
      <w:pPr>
        <w:spacing w:before="120"/>
        <w:jc w:val="center"/>
      </w:pPr>
      <w:r>
        <w:rPr>
          <w:sz w:val="36"/>
        </w:rPr>
        <w:t>操作説明書</w:t>
      </w:r>
    </w:p>
    <w:p>
      <w:pPr>
        <w:spacing w:before="600"/>
        <w:jc w:val="center"/>
      </w:pPr>
      <w:r>
        <w:rPr>
          <w:color w:val="595959"/>
          <w:sz w:val="22"/>
        </w:rPr>
        <w:t>最終更新: 2026年7月17日</w:t>
        <w:br/>
        <w:t>対象: 現場スタッフ / 管理者</w:t>
        <w:br/>
      </w:r>
    </w:p>
    <w:p>
      <w:r>
        <w:br w:type="page"/>
      </w:r>
    </w:p>
    <w:p>
      <w:pPr>
        <w:pStyle w:val="Heading1"/>
      </w:pPr>
      <w:r>
        <w:rPr>
          <w:color w:val="1F4E79"/>
        </w:rPr>
        <w:t>目次</w:t>
      </w:r>
    </w:p>
    <w:p>
      <w:pPr>
        <w:pStyle w:val="ListBullet"/>
      </w:pPr>
      <w:r>
        <w:t>1. このシステムについて</w:t>
      </w:r>
    </w:p>
    <w:p>
      <w:pPr>
        <w:pStyle w:val="ListBullet"/>
      </w:pPr>
      <w:r>
        <w:t>2. ログイン</w:t>
      </w:r>
    </w:p>
    <w:p>
      <w:pPr>
        <w:pStyle w:val="ListBullet"/>
      </w:pPr>
      <w:r>
        <w:t>3. 大会ファイルを選ぶ</w:t>
      </w:r>
    </w:p>
    <w:p>
      <w:pPr>
        <w:pStyle w:val="ListBullet"/>
      </w:pPr>
      <w:r>
        <w:t>4. 画面の基本構成</w:t>
      </w:r>
    </w:p>
    <w:p>
      <w:pPr>
        <w:pStyle w:val="ListBullet"/>
      </w:pPr>
      <w:r>
        <w:t>5. ダッシュボード画面</w:t>
      </w:r>
    </w:p>
    <w:p>
      <w:pPr>
        <w:pStyle w:val="ListBullet"/>
      </w:pPr>
      <w:r>
        <w:t>6. データ入力画面(現場での入力)</w:t>
      </w:r>
    </w:p>
    <w:p>
      <w:pPr>
        <w:pStyle w:val="ListBullet"/>
      </w:pPr>
      <w:r>
        <w:t>7. メンテナンス画面(管理者専用)</w:t>
      </w:r>
    </w:p>
    <w:p>
      <w:pPr>
        <w:pStyle w:val="ListBullet"/>
      </w:pPr>
      <w:r>
        <w:t>8. よくある操作・注意点</w:t>
      </w:r>
    </w:p>
    <w:p>
      <w:r>
        <w:br w:type="page"/>
      </w:r>
    </w:p>
    <w:p>
      <w:pPr>
        <w:pStyle w:val="Heading1"/>
      </w:pPr>
      <w:r>
        <w:rPr>
          <w:color w:val="1F4E79"/>
        </w:rPr>
        <w:t>1. このシステムについて</w:t>
      </w:r>
    </w:p>
    <w:p>
      <w:pPr>
        <w:spacing w:after="120"/>
      </w:pPr>
      <w:r>
        <w:rPr>
          <w:b w:val="0"/>
          <w:i w:val="0"/>
        </w:rPr>
        <w:t>放送中継用の固定回線(FPU無線・光回線)の状態を、現場と本部(センター)で共有しながら管理するためのWebアプリです。「走行」「技術」「総合リハ」「本番」の各フェーズごとに、受信レベル(dBm)・使用チャンネル・機器スペック・現場メモ / センターメモを記録し、関係者間でリアルタイムに共有します。</w:t>
      </w:r>
    </w:p>
    <w:p>
      <w:pPr>
        <w:spacing w:after="120"/>
      </w:pPr>
      <w:r>
        <w:rPr>
          <w:b w:val="0"/>
          <w:i w:val="0"/>
        </w:rPr>
        <w:t>スマートフォン・タブレットでの利用を想定しており、ホーム画面に追加してアプリのように使うこともできます。</w:t>
      </w:r>
    </w:p>
    <w:p>
      <w:pPr>
        <w:spacing w:before="40" w:after="160"/>
        <w:ind w:left="227"/>
      </w:pPr>
      <w:r>
        <w:rPr>
          <w:i/>
          <w:color w:val="595959"/>
          <w:sz w:val="19"/>
        </w:rPr>
        <w:t>※ 本書中の画面図は、実機の配色・レイアウトを再現したイメージ図です(実際のデータを映したスクリーンショットではありません)。細部のレイアウトは実際の画面と多少異なる場合があります。</w:t>
      </w:r>
    </w:p>
    <w:p>
      <w:pPr>
        <w:pStyle w:val="Heading1"/>
      </w:pPr>
      <w:r>
        <w:rPr>
          <w:color w:val="1F4E79"/>
        </w:rPr>
        <w:t>2. ログイン</w:t>
      </w:r>
    </w:p>
    <w:p>
      <w:pPr>
        <w:pStyle w:val="ListNumber"/>
      </w:pPr>
      <w:r>
        <w:t>アプリを開くとログイン画面が表示されます。</w:t>
      </w:r>
    </w:p>
    <w:p>
      <w:pPr>
        <w:pStyle w:val="ListNumber"/>
      </w:pPr>
      <w:r>
        <w:t>発行されたメールアドレスとパスワードを入力し、「ログイン認証」を押します。</w:t>
      </w:r>
    </w:p>
    <w:p>
      <w:pPr>
        <w:spacing w:after="120"/>
      </w:pPr>
      <w:r>
        <w:rPr>
          <w:b w:val="0"/>
          <w:i w:val="0"/>
        </w:rPr>
        <w:t>アカウントには「管理者(ADMINISTRATOR)」と「現場スタッフ(FIELD STAFF)」の2種類があり、権限バッジが画面右上に表示されます。管理者アカウントでは、後述のメンテナンス画面など追加の機能が使えます。</w:t>
      </w:r>
    </w:p>
    <w:p>
      <w:pPr>
        <w:spacing w:before="80"/>
        <w:jc w:val="center"/>
      </w:pPr>
      <w:r>
        <w:drawing>
          <wp:inline xmlns:a="http://schemas.openxmlformats.org/drawingml/2006/main" xmlns:pic="http://schemas.openxmlformats.org/drawingml/2006/picture">
            <wp:extent cx="5580000" cy="2929500"/>
            <wp:docPr id="1" name="Picture 1"/>
            <wp:cNvGraphicFramePr>
              <a:graphicFrameLocks noChangeAspect="1"/>
            </wp:cNvGraphicFramePr>
            <a:graphic>
              <a:graphicData uri="http://schemas.openxmlformats.org/drawingml/2006/picture">
                <pic:pic>
                  <pic:nvPicPr>
                    <pic:cNvPr id="0" name="1_login.png"/>
                    <pic:cNvPicPr/>
                  </pic:nvPicPr>
                  <pic:blipFill>
                    <a:blip r:embed="rId9"/>
                    <a:stretch>
                      <a:fillRect/>
                    </a:stretch>
                  </pic:blipFill>
                  <pic:spPr>
                    <a:xfrm>
                      <a:off x="0" y="0"/>
                      <a:ext cx="5580000" cy="2929500"/>
                    </a:xfrm>
                    <a:prstGeom prst="rect"/>
                  </pic:spPr>
                </pic:pic>
              </a:graphicData>
            </a:graphic>
          </wp:inline>
        </w:drawing>
      </w:r>
    </w:p>
    <w:p>
      <w:pPr>
        <w:spacing w:after="280"/>
        <w:jc w:val="center"/>
      </w:pPr>
      <w:r>
        <w:rPr>
          <w:i/>
          <w:color w:val="595959"/>
          <w:sz w:val="18"/>
        </w:rPr>
        <w:t>図2-1: ログイン画面イメージ</w:t>
      </w:r>
    </w:p>
    <w:p>
      <w:pPr>
        <w:pStyle w:val="Heading1"/>
      </w:pPr>
      <w:r>
        <w:rPr>
          <w:color w:val="1F4E79"/>
        </w:rPr>
        <w:t>3. 大会ファイルを選ぶ</w:t>
      </w:r>
    </w:p>
    <w:p>
      <w:pPr>
        <w:spacing w:after="120"/>
      </w:pPr>
      <w:r>
        <w:rPr>
          <w:b w:val="0"/>
          <w:i w:val="0"/>
        </w:rPr>
        <w:t>ログイン後、登録されている大会(番組)の一覧が表示されます。</w:t>
      </w:r>
    </w:p>
    <w:p>
      <w:pPr>
        <w:pStyle w:val="ListBullet"/>
      </w:pPr>
      <w:r>
        <w:t>使いたい大会の「接続」ボタン、または大会名の行をタップして選択します。</w:t>
      </w:r>
    </w:p>
    <w:p>
      <w:pPr>
        <w:pStyle w:val="ListBullet"/>
      </w:pPr>
      <w:r>
        <w:t>管理者アカウントのみ:右上の「新規作成」から新しい大会を追加できます(番組ID・番組名を入力)。</w:t>
      </w:r>
    </w:p>
    <w:p>
      <w:pPr>
        <w:pStyle w:val="ListBullet"/>
      </w:pPr>
      <w:r>
        <w:t>管理者アカウントのみ:各大会の複製アイコンで、受信点構成を引き継いだまま別大会として複製できます。</w:t>
      </w:r>
    </w:p>
    <w:p>
      <w:pPr>
        <w:pStyle w:val="ListBullet"/>
      </w:pPr>
      <w:r>
        <w:t>管理者アカウントのみ:ゴミ箱アイコンで大会を完全に削除できます。この操作は元に戻せません。</w:t>
      </w:r>
    </w:p>
    <w:p>
      <w:pPr>
        <w:spacing w:before="40" w:after="160"/>
        <w:ind w:left="227"/>
      </w:pPr>
      <w:r>
        <w:rPr>
          <w:i/>
          <w:color w:val="595959"/>
          <w:sz w:val="19"/>
        </w:rPr>
        <w:t>※ 別の大会に切り替えたいときは、画面上部の「大会変更」ボタンを押すとこの選択画面に戻ります。</w:t>
      </w:r>
    </w:p>
    <w:p>
      <w:pPr>
        <w:spacing w:before="80"/>
        <w:jc w:val="center"/>
      </w:pPr>
      <w:r>
        <w:drawing>
          <wp:inline xmlns:a="http://schemas.openxmlformats.org/drawingml/2006/main" xmlns:pic="http://schemas.openxmlformats.org/drawingml/2006/picture">
            <wp:extent cx="5580000" cy="3989700"/>
            <wp:docPr id="2" name="Picture 2"/>
            <wp:cNvGraphicFramePr>
              <a:graphicFrameLocks noChangeAspect="1"/>
            </wp:cNvGraphicFramePr>
            <a:graphic>
              <a:graphicData uri="http://schemas.openxmlformats.org/drawingml/2006/picture">
                <pic:pic>
                  <pic:nvPicPr>
                    <pic:cNvPr id="0" name="2_welcome.png"/>
                    <pic:cNvPicPr/>
                  </pic:nvPicPr>
                  <pic:blipFill>
                    <a:blip r:embed="rId10"/>
                    <a:stretch>
                      <a:fillRect/>
                    </a:stretch>
                  </pic:blipFill>
                  <pic:spPr>
                    <a:xfrm>
                      <a:off x="0" y="0"/>
                      <a:ext cx="5580000" cy="3989700"/>
                    </a:xfrm>
                    <a:prstGeom prst="rect"/>
                  </pic:spPr>
                </pic:pic>
              </a:graphicData>
            </a:graphic>
          </wp:inline>
        </w:drawing>
      </w:r>
    </w:p>
    <w:p>
      <w:pPr>
        <w:spacing w:after="280"/>
        <w:jc w:val="center"/>
      </w:pPr>
      <w:r>
        <w:rPr>
          <w:i/>
          <w:color w:val="595959"/>
          <w:sz w:val="18"/>
        </w:rPr>
        <w:t>図3-1: 大会ファイル選択画面イメージ(左の2件は管理者アカウントで表示される複製・削除アイコン付き)</w:t>
      </w:r>
    </w:p>
    <w:p>
      <w:pPr>
        <w:pStyle w:val="Heading1"/>
      </w:pPr>
      <w:r>
        <w:rPr>
          <w:color w:val="1F4E79"/>
        </w:rPr>
        <w:t>4. 画面の基本構成</w:t>
      </w:r>
    </w:p>
    <w:p>
      <w:pPr>
        <w:spacing w:after="120"/>
      </w:pPr>
      <w:r>
        <w:rPr>
          <w:b w:val="0"/>
          <w:i w:val="0"/>
        </w:rPr>
        <w:t>画面下部のナビゲーションバーから、以下の画面を切り替えます。</w:t>
      </w:r>
    </w:p>
    <w:p>
      <w:pPr>
        <w:pStyle w:val="ListBullet"/>
      </w:pPr>
      <w:r>
        <w:t>ダッシュボード:全受信点のレベル一覧を確認する画面</w:t>
      </w:r>
    </w:p>
    <w:p>
      <w:pPr>
        <w:pStyle w:val="ListBullet"/>
      </w:pPr>
      <w:r>
        <w:t>データ入力:現場から実測値やメモを送信する画面</w:t>
      </w:r>
    </w:p>
    <w:p>
      <w:pPr>
        <w:pStyle w:val="ListBullet"/>
      </w:pPr>
      <w:r>
        <w:t>メンテナンス:(管理者のみ表示)しきい値設定・受信点管理・CSVインポート・権限管理を行う画面</w:t>
      </w:r>
    </w:p>
    <w:p>
      <w:pPr>
        <w:spacing w:after="120"/>
      </w:pPr>
      <w:r>
        <w:rPr>
          <w:b w:val="0"/>
          <w:i w:val="0"/>
        </w:rPr>
        <w:t>画面上部には、現在選択中の大会名、通信状態インジケーター(緑色点灯=リアルタイム同期中)、権限バッジが常に表示されます。</w:t>
      </w:r>
    </w:p>
    <w:p>
      <w:pPr>
        <w:pStyle w:val="Heading1"/>
      </w:pPr>
      <w:r>
        <w:rPr>
          <w:color w:val="1F4E79"/>
        </w:rPr>
        <w:t>5. ダッシュボード画面</w:t>
      </w:r>
    </w:p>
    <w:p>
      <w:pPr>
        <w:spacing w:after="120"/>
      </w:pPr>
      <w:r>
        <w:rPr>
          <w:b w:val="0"/>
          <w:i w:val="0"/>
        </w:rPr>
        <w:t>本線系統(main)・リレー系統(relay)・光回線系統(opt)の3つの表に分かれ、受信点(行)×フェーズ(走行 / 技術 / 総合リハ / 本番、列)でレベルが一覧表示されます。</w:t>
      </w:r>
    </w:p>
    <w:p>
      <w:pPr>
        <w:spacing w:before="80"/>
        <w:jc w:val="center"/>
      </w:pPr>
      <w:r>
        <w:drawing>
          <wp:inline xmlns:a="http://schemas.openxmlformats.org/drawingml/2006/main" xmlns:pic="http://schemas.openxmlformats.org/drawingml/2006/picture">
            <wp:extent cx="5580000" cy="5825898"/>
            <wp:docPr id="3" name="Picture 3"/>
            <wp:cNvGraphicFramePr>
              <a:graphicFrameLocks noChangeAspect="1"/>
            </wp:cNvGraphicFramePr>
            <a:graphic>
              <a:graphicData uri="http://schemas.openxmlformats.org/drawingml/2006/picture">
                <pic:pic>
                  <pic:nvPicPr>
                    <pic:cNvPr id="0" name="3_dashboard.png"/>
                    <pic:cNvPicPr/>
                  </pic:nvPicPr>
                  <pic:blipFill>
                    <a:blip r:embed="rId11"/>
                    <a:stretch>
                      <a:fillRect/>
                    </a:stretch>
                  </pic:blipFill>
                  <pic:spPr>
                    <a:xfrm>
                      <a:off x="0" y="0"/>
                      <a:ext cx="5580000" cy="5825898"/>
                    </a:xfrm>
                    <a:prstGeom prst="rect"/>
                  </pic:spPr>
                </pic:pic>
              </a:graphicData>
            </a:graphic>
          </wp:inline>
        </w:drawing>
      </w:r>
    </w:p>
    <w:p>
      <w:pPr>
        <w:spacing w:after="280"/>
        <w:jc w:val="center"/>
      </w:pPr>
      <w:r>
        <w:rPr>
          <w:i/>
          <w:color w:val="595959"/>
          <w:sz w:val="18"/>
        </w:rPr>
        <w:t>図5-1: ダッシュボード画面イメージ(緑=良好・黄=注意・赤=障害級の色分け例、「--」は未入力のフェーズ)</w:t>
      </w:r>
    </w:p>
    <w:p>
      <w:pPr>
        <w:pStyle w:val="Heading2"/>
      </w:pPr>
      <w:r>
        <w:t>5.1 セルの見方</w:t>
      </w:r>
    </w:p>
    <w:p>
      <w:pPr>
        <w:pStyle w:val="ListBullet"/>
      </w:pPr>
      <w:r>
        <w:t>使用FPUチャンネル</w:t>
      </w:r>
    </w:p>
    <w:p>
      <w:pPr>
        <w:pStyle w:val="ListBullet"/>
      </w:pPr>
      <w:r>
        <w:t>受信レベル(dBm)としきい値に応じた色分け</w:t>
      </w:r>
    </w:p>
    <w:p>
      <w:pPr>
        <w:pStyle w:val="ListBullet"/>
      </w:pPr>
      <w:r>
        <w:t>変調方式・プリセット・TSレート・TX / RX型番</w:t>
      </w:r>
    </w:p>
    <w:p>
      <w:pPr>
        <w:pStyle w:val="ListBullet"/>
      </w:pPr>
      <w:r>
        <w:t>現場メモ(緑ラベル「現:」)・センターメモ(青ラベル「セ:」)</w:t>
      </w:r>
    </w:p>
    <w:p>
      <w:pPr>
        <w:pStyle w:val="Heading2"/>
      </w:pPr>
      <w:r>
        <w:t>5.2 色分けの意味(初期設定値)</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020"/>
            <w:shd w:val="clear" w:color="auto" w:fill="D9D9D9"/>
          </w:tcPr>
          <w:p>
            <w:pPr>
              <w:jc w:val="center"/>
            </w:pPr>
            <w:r/>
            <w:r>
              <w:rPr>
                <w:b/>
                <w:sz w:val="20"/>
              </w:rPr>
              <w:t>色</w:t>
            </w:r>
          </w:p>
        </w:tc>
        <w:tc>
          <w:tcPr>
            <w:tcW w:type="dxa" w:w="1474"/>
            <w:shd w:val="clear" w:color="auto" w:fill="D9D9D9"/>
          </w:tcPr>
          <w:p>
            <w:pPr>
              <w:jc w:val="center"/>
            </w:pPr>
            <w:r/>
            <w:r>
              <w:rPr>
                <w:b/>
                <w:sz w:val="20"/>
              </w:rPr>
              <w:t>意味</w:t>
            </w:r>
          </w:p>
        </w:tc>
        <w:tc>
          <w:tcPr>
            <w:tcW w:type="dxa" w:w="3061"/>
            <w:shd w:val="clear" w:color="auto" w:fill="D9D9D9"/>
          </w:tcPr>
          <w:p>
            <w:pPr>
              <w:jc w:val="center"/>
            </w:pPr>
            <w:r/>
            <w:r>
              <w:rPr>
                <w:b/>
                <w:sz w:val="20"/>
              </w:rPr>
              <w:t>FPU無線系統 (main / relay)</w:t>
            </w:r>
          </w:p>
        </w:tc>
        <w:tc>
          <w:tcPr>
            <w:tcW w:type="dxa" w:w="3061"/>
            <w:shd w:val="clear" w:color="auto" w:fill="D9D9D9"/>
          </w:tcPr>
          <w:p>
            <w:pPr>
              <w:jc w:val="center"/>
            </w:pPr>
            <w:r/>
            <w:r>
              <w:rPr>
                <w:b/>
                <w:sz w:val="20"/>
              </w:rPr>
              <w:t>光回線系統 (opt)</w:t>
            </w:r>
          </w:p>
        </w:tc>
      </w:tr>
      <w:tr>
        <w:tc>
          <w:tcPr>
            <w:tcW w:type="dxa" w:w="1020"/>
            <w:shd w:val="clear" w:color="auto" w:fill="C6EFCE"/>
          </w:tcPr>
          <w:p>
            <w:pPr>
              <w:jc w:val="center"/>
            </w:pPr>
            <w:r/>
            <w:r>
              <w:rPr>
                <w:b/>
                <w:color w:val="1E7A34"/>
                <w:sz w:val="20"/>
              </w:rPr>
              <w:t>緑</w:t>
            </w:r>
          </w:p>
        </w:tc>
        <w:tc>
          <w:tcPr>
            <w:tcW w:type="dxa" w:w="1474"/>
          </w:tcPr>
          <w:p>
            <w:pPr>
              <w:jc w:val="center"/>
            </w:pPr>
            <w:r/>
            <w:r>
              <w:rPr>
                <w:b w:val="0"/>
                <w:sz w:val="20"/>
              </w:rPr>
              <w:t>良好</w:t>
            </w:r>
          </w:p>
        </w:tc>
        <w:tc>
          <w:tcPr>
            <w:tcW w:type="dxa" w:w="3061"/>
          </w:tcPr>
          <w:p>
            <w:pPr>
              <w:jc w:val="center"/>
            </w:pPr>
            <w:r/>
            <w:r>
              <w:rPr>
                <w:b w:val="0"/>
                <w:sz w:val="20"/>
              </w:rPr>
              <w:t>-60dBm 以上</w:t>
            </w:r>
          </w:p>
        </w:tc>
        <w:tc>
          <w:tcPr>
            <w:tcW w:type="dxa" w:w="3061"/>
          </w:tcPr>
          <w:p>
            <w:pPr>
              <w:jc w:val="center"/>
            </w:pPr>
            <w:r/>
            <w:r>
              <w:rPr>
                <w:b w:val="0"/>
                <w:sz w:val="20"/>
              </w:rPr>
              <w:t>-15dBm 以上</w:t>
            </w:r>
          </w:p>
        </w:tc>
      </w:tr>
      <w:tr>
        <w:tc>
          <w:tcPr>
            <w:tcW w:type="dxa" w:w="1020"/>
            <w:shd w:val="clear" w:color="auto" w:fill="FFEB9C"/>
          </w:tcPr>
          <w:p>
            <w:pPr>
              <w:jc w:val="center"/>
            </w:pPr>
            <w:r/>
            <w:r>
              <w:rPr>
                <w:b/>
                <w:color w:val="B57A00"/>
                <w:sz w:val="20"/>
              </w:rPr>
              <w:t>黄</w:t>
            </w:r>
          </w:p>
        </w:tc>
        <w:tc>
          <w:tcPr>
            <w:tcW w:type="dxa" w:w="1474"/>
          </w:tcPr>
          <w:p>
            <w:pPr>
              <w:jc w:val="center"/>
            </w:pPr>
            <w:r/>
            <w:r>
              <w:rPr>
                <w:b w:val="0"/>
                <w:sz w:val="20"/>
              </w:rPr>
              <w:t>注意</w:t>
            </w:r>
          </w:p>
        </w:tc>
        <w:tc>
          <w:tcPr>
            <w:tcW w:type="dxa" w:w="3061"/>
          </w:tcPr>
          <w:p>
            <w:pPr>
              <w:jc w:val="center"/>
            </w:pPr>
            <w:r/>
            <w:r>
              <w:rPr>
                <w:b w:val="0"/>
                <w:sz w:val="20"/>
              </w:rPr>
              <w:t>-61 〜 -80dBm</w:t>
            </w:r>
          </w:p>
        </w:tc>
        <w:tc>
          <w:tcPr>
            <w:tcW w:type="dxa" w:w="3061"/>
          </w:tcPr>
          <w:p>
            <w:pPr>
              <w:jc w:val="center"/>
            </w:pPr>
            <w:r/>
            <w:r>
              <w:rPr>
                <w:b w:val="0"/>
                <w:sz w:val="20"/>
              </w:rPr>
              <w:t>-16 〜 -20dBm</w:t>
            </w:r>
          </w:p>
        </w:tc>
      </w:tr>
      <w:tr>
        <w:tc>
          <w:tcPr>
            <w:tcW w:type="dxa" w:w="1020"/>
            <w:shd w:val="clear" w:color="auto" w:fill="FFC7CE"/>
          </w:tcPr>
          <w:p>
            <w:pPr>
              <w:jc w:val="center"/>
            </w:pPr>
            <w:r/>
            <w:r>
              <w:rPr>
                <w:b/>
                <w:color w:val="B02A2A"/>
                <w:sz w:val="20"/>
              </w:rPr>
              <w:t>赤</w:t>
            </w:r>
          </w:p>
        </w:tc>
        <w:tc>
          <w:tcPr>
            <w:tcW w:type="dxa" w:w="1474"/>
          </w:tcPr>
          <w:p>
            <w:pPr>
              <w:jc w:val="center"/>
            </w:pPr>
            <w:r/>
            <w:r>
              <w:rPr>
                <w:b w:val="0"/>
                <w:sz w:val="20"/>
              </w:rPr>
              <w:t>障害級</w:t>
            </w:r>
          </w:p>
        </w:tc>
        <w:tc>
          <w:tcPr>
            <w:tcW w:type="dxa" w:w="3061"/>
          </w:tcPr>
          <w:p>
            <w:pPr>
              <w:jc w:val="center"/>
            </w:pPr>
            <w:r/>
            <w:r>
              <w:rPr>
                <w:b w:val="0"/>
                <w:sz w:val="20"/>
              </w:rPr>
              <w:t>-81dBm 以下</w:t>
            </w:r>
          </w:p>
        </w:tc>
        <w:tc>
          <w:tcPr>
            <w:tcW w:type="dxa" w:w="3061"/>
          </w:tcPr>
          <w:p>
            <w:pPr>
              <w:jc w:val="center"/>
            </w:pPr>
            <w:r/>
            <w:r>
              <w:rPr>
                <w:b w:val="0"/>
                <w:sz w:val="20"/>
              </w:rPr>
              <w:t>-21dBm 以下</w:t>
            </w:r>
          </w:p>
        </w:tc>
      </w:tr>
    </w:tbl>
    <w:p>
      <w:pPr>
        <w:spacing w:after="80"/>
      </w:pPr>
    </w:p>
    <w:p>
      <w:pPr>
        <w:spacing w:before="40" w:after="160"/>
        <w:ind w:left="227"/>
      </w:pPr>
      <w:r>
        <w:rPr>
          <w:i/>
          <w:color w:val="595959"/>
          <w:sz w:val="19"/>
        </w:rPr>
        <w:t>※ しきい値は管理者がメンテナンス画面のスライダーからいつでも調整できます。ダッシュボードの色分けに即座に反映されます。</w:t>
      </w:r>
    </w:p>
    <w:p>
      <w:pPr>
        <w:pStyle w:val="Heading2"/>
      </w:pPr>
      <w:r>
        <w:t>5.3 センターメモ・Chのクイック更新</w:t>
      </w:r>
    </w:p>
    <w:p>
      <w:pPr>
        <w:spacing w:after="120"/>
      </w:pPr>
      <w:r>
        <w:rPr>
          <w:b w:val="0"/>
          <w:i w:val="0"/>
        </w:rPr>
        <w:t>ダッシュボード上部の入力欄から、対象回線・フェーズ・チャンネル・状況メモを入力して「更新」を押すと、現場からの入力を待たずに、センター側からメモやチャンネル情報だけを素早く反映できます。</w:t>
      </w:r>
    </w:p>
    <w:p>
      <w:pPr>
        <w:pStyle w:val="Heading1"/>
      </w:pPr>
      <w:r>
        <w:rPr>
          <w:color w:val="1F4E79"/>
        </w:rPr>
        <w:t>6. データ入力画面(現場での入力)</w:t>
      </w:r>
    </w:p>
    <w:p>
      <w:pPr>
        <w:pStyle w:val="ListNumber"/>
      </w:pPr>
      <w:r>
        <w:t>① 対象回線(リンク)を選ぶ</w:t>
      </w:r>
    </w:p>
    <w:p>
      <w:pPr>
        <w:pStyle w:val="ListNumber"/>
      </w:pPr>
      <w:r>
        <w:t>② 現在のフェーズ(走行テスト / 技術テスト / 総合リハーサル / 本番)を選ぶ</w:t>
      </w:r>
    </w:p>
    <w:p>
      <w:pPr>
        <w:pStyle w:val="ListNumber"/>
      </w:pPr>
      <w:r>
        <w:t>③ 使用FPUチャンネルを選ぶ、または直接入力する(例:C2H)</w:t>
      </w:r>
    </w:p>
    <w:p>
      <w:pPr>
        <w:pStyle w:val="ListNumber"/>
      </w:pPr>
      <w:r>
        <w:t>④ 回線スペック・機器パラメータを入力する(変調方式・プリセット・TS-Rateはプルダウン、送信機型番(TX)・受信機型番(RX)は自由入力)</w:t>
      </w:r>
    </w:p>
    <w:p>
      <w:pPr>
        <w:pStyle w:val="ListNumber"/>
      </w:pPr>
      <w:r>
        <w:t>⑤ 電界強度数値を入力する(-5 / -1 / +1 / +5ボタン、または直接入力欄。dBmのマイナス記号は自動で付きます)</w:t>
      </w:r>
    </w:p>
    <w:p>
      <w:pPr>
        <w:pStyle w:val="ListNumber"/>
      </w:pPr>
      <w:r>
        <w:t>現場メモ・センターメモを必要に応じて入力する</w:t>
      </w:r>
    </w:p>
    <w:p>
      <w:pPr>
        <w:pStyle w:val="ListNumber"/>
      </w:pPr>
      <w:r>
        <w:t>「データと機器情報を送信」を押す</w:t>
      </w:r>
    </w:p>
    <w:p>
      <w:pPr>
        <w:spacing w:before="40" w:after="160"/>
        <w:ind w:left="227"/>
      </w:pPr>
      <w:r>
        <w:rPr>
          <w:i/>
          <w:color w:val="595959"/>
          <w:sz w:val="19"/>
        </w:rPr>
        <w:t>※ ①②の組み合わせを切り替えると、その組み合わせで過去に入力済みの内容が自動的に画面へ読み込まれます。</w:t>
      </w:r>
    </w:p>
    <w:p>
      <w:pPr>
        <w:spacing w:before="40" w:after="160"/>
        <w:ind w:left="227"/>
      </w:pPr>
      <w:r>
        <w:rPr>
          <w:i/>
          <w:color w:val="595959"/>
          <w:sz w:val="19"/>
        </w:rPr>
        <w:t>※ 「このスペック情報を全日程に一括反映する」にチェックすると、変調方式などのスペック項目だけが4フェーズすべてに反映されます。現場メモ・センターメモは反映されず、選択中のフェーズのみに保存されます。</w:t>
      </w:r>
    </w:p>
    <w:p>
      <w:pPr>
        <w:spacing w:before="80"/>
        <w:jc w:val="center"/>
      </w:pPr>
      <w:r>
        <w:drawing>
          <wp:inline xmlns:a="http://schemas.openxmlformats.org/drawingml/2006/main" xmlns:pic="http://schemas.openxmlformats.org/drawingml/2006/picture">
            <wp:extent cx="5580000" cy="5951999"/>
            <wp:docPr id="4" name="Picture 4"/>
            <wp:cNvGraphicFramePr>
              <a:graphicFrameLocks noChangeAspect="1"/>
            </wp:cNvGraphicFramePr>
            <a:graphic>
              <a:graphicData uri="http://schemas.openxmlformats.org/drawingml/2006/picture">
                <pic:pic>
                  <pic:nvPicPr>
                    <pic:cNvPr id="0" name="4_input.png"/>
                    <pic:cNvPicPr/>
                  </pic:nvPicPr>
                  <pic:blipFill>
                    <a:blip r:embed="rId12"/>
                    <a:stretch>
                      <a:fillRect/>
                    </a:stretch>
                  </pic:blipFill>
                  <pic:spPr>
                    <a:xfrm>
                      <a:off x="0" y="0"/>
                      <a:ext cx="5580000" cy="5951999"/>
                    </a:xfrm>
                    <a:prstGeom prst="rect"/>
                  </pic:spPr>
                </pic:pic>
              </a:graphicData>
            </a:graphic>
          </wp:inline>
        </w:drawing>
      </w:r>
    </w:p>
    <w:p>
      <w:pPr>
        <w:spacing w:after="280"/>
        <w:jc w:val="center"/>
      </w:pPr>
      <w:r>
        <w:rPr>
          <w:i/>
          <w:color w:val="595959"/>
          <w:sz w:val="18"/>
        </w:rPr>
        <w:t>図6-1: データ入力画面イメージ</w:t>
      </w:r>
    </w:p>
    <w:p>
      <w:pPr>
        <w:pStyle w:val="Heading1"/>
      </w:pPr>
      <w:r>
        <w:rPr>
          <w:color w:val="1F4E79"/>
        </w:rPr>
        <w:t>7. メンテナンス画面(管理者専用)</w:t>
      </w:r>
    </w:p>
    <w:p>
      <w:pPr>
        <w:spacing w:after="120"/>
      </w:pPr>
      <w:r>
        <w:rPr>
          <w:b w:val="0"/>
          <w:i w:val="0"/>
        </w:rPr>
        <w:t>現場スタッフの画面にはこの画面自体が表示されません。</w:t>
      </w:r>
    </w:p>
    <w:p>
      <w:pPr>
        <w:spacing w:before="80"/>
        <w:jc w:val="center"/>
      </w:pPr>
      <w:r>
        <w:drawing>
          <wp:inline xmlns:a="http://schemas.openxmlformats.org/drawingml/2006/main" xmlns:pic="http://schemas.openxmlformats.org/drawingml/2006/picture">
            <wp:extent cx="5580000" cy="6138000"/>
            <wp:docPr id="5" name="Picture 5"/>
            <wp:cNvGraphicFramePr>
              <a:graphicFrameLocks noChangeAspect="1"/>
            </wp:cNvGraphicFramePr>
            <a:graphic>
              <a:graphicData uri="http://schemas.openxmlformats.org/drawingml/2006/picture">
                <pic:pic>
                  <pic:nvPicPr>
                    <pic:cNvPr id="0" name="5_maintenance.png"/>
                    <pic:cNvPicPr/>
                  </pic:nvPicPr>
                  <pic:blipFill>
                    <a:blip r:embed="rId13"/>
                    <a:stretch>
                      <a:fillRect/>
                    </a:stretch>
                  </pic:blipFill>
                  <pic:spPr>
                    <a:xfrm>
                      <a:off x="0" y="0"/>
                      <a:ext cx="5580000" cy="6138000"/>
                    </a:xfrm>
                    <a:prstGeom prst="rect"/>
                  </pic:spPr>
                </pic:pic>
              </a:graphicData>
            </a:graphic>
          </wp:inline>
        </w:drawing>
      </w:r>
    </w:p>
    <w:p>
      <w:pPr>
        <w:spacing w:after="280"/>
        <w:jc w:val="center"/>
      </w:pPr>
      <w:r>
        <w:rPr>
          <w:i/>
          <w:color w:val="595959"/>
          <w:sz w:val="18"/>
        </w:rPr>
        <w:t>図7-1: メンテナンス画面イメージ(管理者アカウントのみ表示)</w:t>
      </w:r>
    </w:p>
    <w:p>
      <w:pPr>
        <w:pStyle w:val="Heading2"/>
      </w:pPr>
      <w:r>
        <w:t>7.1 しきい値管理</w:t>
      </w:r>
    </w:p>
    <w:p>
      <w:pPr>
        <w:spacing w:after="120"/>
      </w:pPr>
      <w:r>
        <w:rPr>
          <w:b w:val="0"/>
          <w:i w:val="0"/>
        </w:rPr>
        <w:t>FPU無線系統・光回線系統それぞれについて、赤判定(障害級)・緑判定(良好)のラインをスライダーで調整できます。</w:t>
      </w:r>
    </w:p>
    <w:p>
      <w:pPr>
        <w:pStyle w:val="Heading2"/>
      </w:pPr>
      <w:r>
        <w:t>7.2 CSVから受信点・スペックを一括登録</w:t>
      </w:r>
    </w:p>
    <w:p>
      <w:pPr>
        <w:spacing w:after="120"/>
      </w:pPr>
      <w:r>
        <w:rPr>
          <w:b w:val="0"/>
          <w:i w:val="0"/>
        </w:rPr>
        <w:t>フォーマット(UTF-8、1行目はヘッダーとして自動的にスキップされます):</w:t>
      </w:r>
    </w:p>
    <w:tbl>
      <w:tblPr>
        <w:tblStyle w:val="TableGrid"/>
        <w:tblW w:type="auto" w:w="0"/>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D9D9D9"/>
          </w:tcPr>
          <w:p>
            <w:pPr>
              <w:jc w:val="center"/>
            </w:pPr>
            <w:r/>
            <w:r>
              <w:rPr>
                <w:b/>
                <w:sz w:val="20"/>
              </w:rPr>
              <w:t>受信点名</w:t>
            </w:r>
          </w:p>
        </w:tc>
        <w:tc>
          <w:tcPr>
            <w:tcW w:type="dxa" w:w="1176"/>
            <w:shd w:val="clear" w:color="auto" w:fill="D9D9D9"/>
          </w:tcPr>
          <w:p>
            <w:pPr>
              <w:jc w:val="center"/>
            </w:pPr>
            <w:r/>
            <w:r>
              <w:rPr>
                <w:b/>
                <w:sz w:val="20"/>
              </w:rPr>
              <w:t>カテゴリ</w:t>
            </w:r>
          </w:p>
        </w:tc>
        <w:tc>
          <w:tcPr>
            <w:tcW w:type="dxa" w:w="1176"/>
            <w:shd w:val="clear" w:color="auto" w:fill="D9D9D9"/>
          </w:tcPr>
          <w:p>
            <w:pPr>
              <w:jc w:val="center"/>
            </w:pPr>
            <w:r/>
            <w:r>
              <w:rPr>
                <w:b/>
                <w:sz w:val="20"/>
              </w:rPr>
              <w:t>初期Ch</w:t>
            </w:r>
          </w:p>
        </w:tc>
        <w:tc>
          <w:tcPr>
            <w:tcW w:type="dxa" w:w="1176"/>
            <w:shd w:val="clear" w:color="auto" w:fill="D9D9D9"/>
          </w:tcPr>
          <w:p>
            <w:pPr>
              <w:jc w:val="center"/>
            </w:pPr>
            <w:r/>
            <w:r>
              <w:rPr>
                <w:b/>
                <w:sz w:val="20"/>
              </w:rPr>
              <w:t>変調方式</w:t>
            </w:r>
          </w:p>
        </w:tc>
        <w:tc>
          <w:tcPr>
            <w:tcW w:type="dxa" w:w="1176"/>
            <w:shd w:val="clear" w:color="auto" w:fill="D9D9D9"/>
          </w:tcPr>
          <w:p>
            <w:pPr>
              <w:jc w:val="center"/>
            </w:pPr>
            <w:r/>
            <w:r>
              <w:rPr>
                <w:b/>
                <w:sz w:val="20"/>
              </w:rPr>
              <w:t>プリセット</w:t>
            </w:r>
          </w:p>
        </w:tc>
        <w:tc>
          <w:tcPr>
            <w:tcW w:type="dxa" w:w="1176"/>
            <w:shd w:val="clear" w:color="auto" w:fill="D9D9D9"/>
          </w:tcPr>
          <w:p>
            <w:pPr>
              <w:jc w:val="center"/>
            </w:pPr>
            <w:r/>
            <w:r>
              <w:rPr>
                <w:b/>
                <w:sz w:val="20"/>
              </w:rPr>
              <w:t>TSレート</w:t>
            </w:r>
          </w:p>
        </w:tc>
        <w:tc>
          <w:tcPr>
            <w:tcW w:type="dxa" w:w="1176"/>
            <w:shd w:val="clear" w:color="auto" w:fill="D9D9D9"/>
          </w:tcPr>
          <w:p>
            <w:pPr>
              <w:jc w:val="center"/>
            </w:pPr>
            <w:r/>
            <w:r>
              <w:rPr>
                <w:b/>
                <w:sz w:val="20"/>
              </w:rPr>
              <w:t>TX型番</w:t>
            </w:r>
          </w:p>
        </w:tc>
        <w:tc>
          <w:tcPr>
            <w:tcW w:type="dxa" w:w="1176"/>
            <w:shd w:val="clear" w:color="auto" w:fill="D9D9D9"/>
          </w:tcPr>
          <w:p>
            <w:pPr>
              <w:jc w:val="center"/>
            </w:pPr>
            <w:r/>
            <w:r>
              <w:rPr>
                <w:b/>
                <w:sz w:val="20"/>
              </w:rPr>
              <w:t>RX型番</w:t>
            </w:r>
          </w:p>
        </w:tc>
      </w:tr>
      <w:tr>
        <w:tc>
          <w:tcPr>
            <w:tcW w:type="dxa" w:w="1176"/>
          </w:tcPr>
          <w:p>
            <w:pPr>
              <w:jc w:val="center"/>
            </w:pPr>
            <w:r/>
            <w:r>
              <w:rPr>
                <w:b w:val="0"/>
                <w:sz w:val="20"/>
              </w:rPr>
              <w:t>中継地点A</w:t>
            </w:r>
          </w:p>
        </w:tc>
        <w:tc>
          <w:tcPr>
            <w:tcW w:type="dxa" w:w="1176"/>
          </w:tcPr>
          <w:p>
            <w:pPr>
              <w:jc w:val="center"/>
            </w:pPr>
            <w:r/>
            <w:r>
              <w:rPr>
                <w:b w:val="0"/>
                <w:sz w:val="20"/>
              </w:rPr>
              <w:t>main</w:t>
            </w:r>
          </w:p>
        </w:tc>
        <w:tc>
          <w:tcPr>
            <w:tcW w:type="dxa" w:w="1176"/>
          </w:tcPr>
          <w:p>
            <w:pPr>
              <w:jc w:val="center"/>
            </w:pPr>
            <w:r/>
            <w:r>
              <w:rPr>
                <w:b w:val="0"/>
                <w:sz w:val="20"/>
              </w:rPr>
              <w:t>C2H</w:t>
            </w:r>
          </w:p>
        </w:tc>
        <w:tc>
          <w:tcPr>
            <w:tcW w:type="dxa" w:w="1176"/>
          </w:tcPr>
          <w:p>
            <w:pPr>
              <w:jc w:val="center"/>
            </w:pPr>
            <w:r/>
            <w:r>
              <w:rPr>
                <w:b w:val="0"/>
                <w:sz w:val="20"/>
              </w:rPr>
              <w:t>QPSK</w:t>
            </w:r>
          </w:p>
        </w:tc>
        <w:tc>
          <w:tcPr>
            <w:tcW w:type="dxa" w:w="1176"/>
          </w:tcPr>
          <w:p>
            <w:pPr>
              <w:jc w:val="center"/>
            </w:pPr>
            <w:r/>
            <w:r>
              <w:rPr>
                <w:b w:val="0"/>
                <w:sz w:val="20"/>
              </w:rPr>
              <w:t>P1</w:t>
            </w:r>
          </w:p>
        </w:tc>
        <w:tc>
          <w:tcPr>
            <w:tcW w:type="dxa" w:w="1176"/>
          </w:tcPr>
          <w:p>
            <w:pPr>
              <w:jc w:val="center"/>
            </w:pPr>
            <w:r/>
            <w:r>
              <w:rPr>
                <w:b w:val="0"/>
                <w:sz w:val="20"/>
              </w:rPr>
              <w:t>15M</w:t>
            </w:r>
          </w:p>
        </w:tc>
        <w:tc>
          <w:tcPr>
            <w:tcW w:type="dxa" w:w="1176"/>
          </w:tcPr>
          <w:p>
            <w:pPr>
              <w:jc w:val="center"/>
            </w:pPr>
            <w:r/>
            <w:r>
              <w:rPr>
                <w:b w:val="0"/>
                <w:sz w:val="20"/>
              </w:rPr>
              <w:t>PF-900</w:t>
            </w:r>
          </w:p>
        </w:tc>
        <w:tc>
          <w:tcPr>
            <w:tcW w:type="dxa" w:w="1176"/>
          </w:tcPr>
          <w:p>
            <w:pPr>
              <w:jc w:val="center"/>
            </w:pPr>
            <w:r/>
            <w:r>
              <w:rPr>
                <w:b w:val="0"/>
                <w:sz w:val="20"/>
              </w:rPr>
              <w:t>FR-800</w:t>
            </w:r>
          </w:p>
        </w:tc>
      </w:tr>
    </w:tbl>
    <w:p>
      <w:pPr>
        <w:spacing w:after="80"/>
      </w:pPr>
    </w:p>
    <w:p>
      <w:pPr>
        <w:pStyle w:val="ListBullet"/>
      </w:pPr>
      <w:r>
        <w:t>カテゴリには main / relay / opt のいずれかを指定します。</w:t>
      </w:r>
    </w:p>
    <w:p>
      <w:pPr>
        <w:pStyle w:val="ListBullet"/>
      </w:pPr>
      <w:r>
        <w:t>受信点名がすでに登録済みのものと一致する行は、スペック情報(チャンネル・変調方式・プリセット・TSレート・TX / RX型番)だけを上書きします。</w:t>
      </w:r>
    </w:p>
    <w:p>
      <w:pPr>
        <w:pStyle w:val="ListBullet"/>
      </w:pPr>
      <w:r>
        <w:t>新しい受信点名の行は、新規の受信点として追加されます。</w:t>
      </w:r>
    </w:p>
    <w:p>
      <w:pPr>
        <w:spacing w:before="40" w:after="160"/>
        <w:ind w:left="227"/>
      </w:pPr>
      <w:r>
        <w:rPr>
          <w:i/>
          <w:color w:val="595959"/>
          <w:sz w:val="19"/>
        </w:rPr>
        <w:t>※ すでに現場で入力済みの実測値・現場メモ・センターメモは上書きされず保持されます。型番の修正などのために何度でも再インポートして問題ありません。</w:t>
      </w:r>
    </w:p>
    <w:p>
      <w:pPr>
        <w:pStyle w:val="Heading2"/>
      </w:pPr>
      <w:r>
        <w:t>7.3 アカウント権限管理</w:t>
      </w:r>
    </w:p>
    <w:p>
      <w:pPr>
        <w:spacing w:after="120"/>
      </w:pPr>
      <w:r>
        <w:rPr>
          <w:b w:val="0"/>
          <w:i w:val="0"/>
        </w:rPr>
        <w:t>「管理画面へ」ボタンから、登録ユーザーの一覧と権限(管理者 / 現場スタッフ)を確認・切り替えできます。</w:t>
      </w:r>
    </w:p>
    <w:p>
      <w:pPr>
        <w:spacing w:before="40" w:after="160"/>
        <w:ind w:left="227"/>
      </w:pPr>
      <w:r>
        <w:rPr>
          <w:i/>
          <w:color w:val="595959"/>
          <w:sz w:val="19"/>
        </w:rPr>
        <w:t>※ システム管理者アカウント(admin@fpu.system)は保護されており、この画面から権限を変更することはできません。</w:t>
      </w:r>
    </w:p>
    <w:p>
      <w:pPr>
        <w:spacing w:before="80"/>
        <w:jc w:val="center"/>
      </w:pPr>
      <w:r>
        <w:drawing>
          <wp:inline xmlns:a="http://schemas.openxmlformats.org/drawingml/2006/main" xmlns:pic="http://schemas.openxmlformats.org/drawingml/2006/picture">
            <wp:extent cx="5580000" cy="3689000"/>
            <wp:docPr id="6" name="Picture 6"/>
            <wp:cNvGraphicFramePr>
              <a:graphicFrameLocks noChangeAspect="1"/>
            </wp:cNvGraphicFramePr>
            <a:graphic>
              <a:graphicData uri="http://schemas.openxmlformats.org/drawingml/2006/picture">
                <pic:pic>
                  <pic:nvPicPr>
                    <pic:cNvPr id="0" name="6_useradmin.png"/>
                    <pic:cNvPicPr/>
                  </pic:nvPicPr>
                  <pic:blipFill>
                    <a:blip r:embed="rId14"/>
                    <a:stretch>
                      <a:fillRect/>
                    </a:stretch>
                  </pic:blipFill>
                  <pic:spPr>
                    <a:xfrm>
                      <a:off x="0" y="0"/>
                      <a:ext cx="5580000" cy="3689000"/>
                    </a:xfrm>
                    <a:prstGeom prst="rect"/>
                  </pic:spPr>
                </pic:pic>
              </a:graphicData>
            </a:graphic>
          </wp:inline>
        </w:drawing>
      </w:r>
    </w:p>
    <w:p>
      <w:pPr>
        <w:spacing w:after="280"/>
        <w:jc w:val="center"/>
      </w:pPr>
      <w:r>
        <w:rPr>
          <w:i/>
          <w:color w:val="595959"/>
          <w:sz w:val="18"/>
        </w:rPr>
        <w:t>図7-2: アカウント権限管理画面イメージ</w:t>
      </w:r>
    </w:p>
    <w:p>
      <w:pPr>
        <w:pStyle w:val="Heading2"/>
      </w:pPr>
      <w:r>
        <w:t>7.4 受信点の新規手動追加</w:t>
      </w:r>
    </w:p>
    <w:p>
      <w:pPr>
        <w:spacing w:after="120"/>
      </w:pPr>
      <w:r>
        <w:rPr>
          <w:b w:val="0"/>
          <w:i w:val="0"/>
        </w:rPr>
        <w:t>受信点名とブロックカテゴリ(本線 / リレー / 光回線)を指定して、1件ずつ手動で追加できます。</w:t>
      </w:r>
    </w:p>
    <w:p>
      <w:pPr>
        <w:spacing w:before="40" w:after="160"/>
        <w:ind w:left="227"/>
      </w:pPr>
      <w:r>
        <w:rPr>
          <w:i/>
          <w:color w:val="595959"/>
          <w:sz w:val="19"/>
        </w:rPr>
        <w:t>※ 同じ大会内で同じ名前の受信点は重複登録できません。</w:t>
      </w:r>
    </w:p>
    <w:p>
      <w:pPr>
        <w:pStyle w:val="Heading2"/>
      </w:pPr>
      <w:r>
        <w:t>7.5 ドラッグ順序入れ替え</w:t>
      </w:r>
    </w:p>
    <w:p>
      <w:pPr>
        <w:spacing w:after="120"/>
      </w:pPr>
      <w:r>
        <w:rPr>
          <w:b w:val="0"/>
          <w:i w:val="0"/>
        </w:rPr>
        <w:t>本線・リレー・光回線それぞれのグループ内で、受信点をドラッグして並び替えられます。並び替えたら「並び順を一括確定して同期」を押して確定してください。</w:t>
      </w:r>
    </w:p>
    <w:p>
      <w:pPr>
        <w:spacing w:before="40" w:after="160"/>
        <w:ind w:left="227"/>
      </w:pPr>
      <w:r>
        <w:rPr>
          <w:i/>
          <w:color w:val="595959"/>
          <w:sz w:val="19"/>
        </w:rPr>
        <w:t>※ 確定ボタンを押すまでは並び順はサーバーに反映されません。</w:t>
      </w:r>
    </w:p>
    <w:p>
      <w:pPr>
        <w:spacing w:before="40" w:after="160"/>
        <w:ind w:left="227"/>
      </w:pPr>
      <w:r>
        <w:rPr>
          <w:i/>
          <w:color w:val="595959"/>
          <w:sz w:val="19"/>
        </w:rPr>
        <w:t>※ 各受信点のゴミ箱アイコンで削除できます。その受信点の全フェーズのデータも同時に削除されるため、削除前によく確認してください。</w:t>
      </w:r>
    </w:p>
    <w:p>
      <w:pPr>
        <w:pStyle w:val="Heading1"/>
      </w:pPr>
      <w:r>
        <w:rPr>
          <w:color w:val="1F4E79"/>
        </w:rPr>
        <w:t>8. よくある操作・注意点</w:t>
      </w:r>
    </w:p>
    <w:p>
      <w:pPr>
        <w:pStyle w:val="ListBullet"/>
      </w:pPr>
      <w:r>
        <w:t>「大会変更」を押すとページが再読み込みされ、大会選択画面に戻ります。入力中の内容は保存されないため、送信してから画面を切り替えてください。</w:t>
      </w:r>
    </w:p>
    <w:p>
      <w:pPr>
        <w:pStyle w:val="ListBullet"/>
      </w:pPr>
      <w:r>
        <w:t>受信レベルの表示は常にマイナス値(dBm)です。入力欄には絶対値(マイナス記号を除いた数字)を入力します。</w:t>
      </w:r>
    </w:p>
    <w:p>
      <w:pPr>
        <w:pStyle w:val="ListBullet"/>
      </w:pPr>
      <w:r>
        <w:t>画面上部のインジケーターが緑色で点灯していれば、他の端末からの更新もその場で反映されます。</w:t>
      </w:r>
    </w:p>
    <w:p/>
    <w:p>
      <w:pPr>
        <w:jc w:val="right"/>
      </w:pPr>
      <w:r>
        <w:rPr>
          <w:sz w:val="20"/>
        </w:rPr>
        <w:t>以上</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游ゴシック"/>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游ゴシック"/>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游ゴシック"/>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游ゴシック"/>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