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57A97" w14:textId="646CA1F4" w:rsidR="002F62CA" w:rsidRDefault="00A516FA">
      <w:r>
        <w:rPr>
          <w:rFonts w:hint="eastAsia"/>
        </w:rPr>
        <w:t>放射線安全工学　第11回　演習課題(p41,42)</w:t>
      </w:r>
    </w:p>
    <w:p w14:paraId="42BD83F0" w14:textId="08C2CF6E" w:rsidR="00A516FA" w:rsidRDefault="00A516FA">
      <w:r w:rsidRPr="00A516FA">
        <w:t>実効半減期の逆数が 物理学的半減期の逆数と 生物学的半減期の和で表すことが出来る事を 数学的に導いて下さい。</w:t>
      </w:r>
      <w:r>
        <w:rPr>
          <w:rFonts w:hint="eastAsia"/>
        </w:rPr>
        <w:t>（</w:t>
      </w:r>
      <w:r w:rsidRPr="00A516FA">
        <w:t>1 / T(eff) = 1 / T(</w:t>
      </w:r>
      <w:proofErr w:type="spellStart"/>
      <w:r w:rsidRPr="00A516FA">
        <w:t>phys</w:t>
      </w:r>
      <w:proofErr w:type="spellEnd"/>
      <w:r w:rsidRPr="00A516FA">
        <w:t>) + 1 / T(bio)　の関係</w:t>
      </w:r>
      <w:r>
        <w:rPr>
          <w:rFonts w:hint="eastAsia"/>
        </w:rPr>
        <w:t>）</w:t>
      </w:r>
    </w:p>
    <w:p w14:paraId="733D396C" w14:textId="782F9DBC" w:rsidR="00A1392E" w:rsidRDefault="00D46F95" w:rsidP="00A1392E">
      <w:pPr>
        <w:rPr>
          <w:sz w:val="21"/>
          <w:szCs w:val="21"/>
        </w:rPr>
      </w:pPr>
      <w:r>
        <w:rPr>
          <w:rFonts w:hint="eastAsia"/>
        </w:rPr>
        <w:t>まず、放射線壊変の基本式</w:t>
      </w:r>
      <m:oMath>
        <m:f>
          <m:fPr>
            <m:ctrlPr>
              <w:rPr>
                <w:rFonts w:ascii="Cambria Math" w:hAnsi="Cambria Math"/>
                <w:i/>
                <w:sz w:val="21"/>
                <w:szCs w:val="21"/>
              </w:rPr>
            </m:ctrlPr>
          </m:fPr>
          <m:num>
            <m:r>
              <w:rPr>
                <w:rFonts w:ascii="Cambria Math" w:hAnsi="Cambria Math"/>
                <w:sz w:val="21"/>
                <w:szCs w:val="21"/>
              </w:rPr>
              <m:t>dN</m:t>
            </m:r>
            <m:r>
              <w:rPr>
                <w:rFonts w:ascii="Cambria Math" w:hAnsi="Cambria Math"/>
                <w:sz w:val="21"/>
                <w:szCs w:val="21"/>
              </w:rPr>
              <m:t>(t)</m:t>
            </m:r>
          </m:num>
          <m:den>
            <m:r>
              <w:rPr>
                <w:rFonts w:ascii="Cambria Math" w:hAnsi="Cambria Math"/>
                <w:sz w:val="21"/>
                <w:szCs w:val="21"/>
              </w:rPr>
              <m:t>dt</m:t>
            </m:r>
          </m:den>
        </m:f>
        <m:r>
          <w:rPr>
            <w:rFonts w:ascii="Cambria Math" w:hAnsi="Cambria Math"/>
            <w:sz w:val="21"/>
            <w:szCs w:val="21"/>
          </w:rPr>
          <m:t>=-λN</m:t>
        </m:r>
        <m:r>
          <w:rPr>
            <w:rFonts w:ascii="Cambria Math" w:hAnsi="Cambria Math"/>
            <w:sz w:val="21"/>
            <w:szCs w:val="21"/>
          </w:rPr>
          <m:t>(t)</m:t>
        </m:r>
      </m:oMath>
      <w:r w:rsidR="006B7518">
        <w:rPr>
          <w:rFonts w:hint="eastAsia"/>
          <w:sz w:val="21"/>
          <w:szCs w:val="21"/>
        </w:rPr>
        <w:t>を変形すると、</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N(t)</m:t>
            </m:r>
          </m:den>
        </m:f>
        <m:r>
          <w:rPr>
            <w:rFonts w:ascii="Cambria Math" w:hAnsi="Cambria Math"/>
            <w:sz w:val="21"/>
            <w:szCs w:val="21"/>
          </w:rPr>
          <m:t>dN(t)</m:t>
        </m:r>
        <m:r>
          <w:rPr>
            <w:rFonts w:ascii="Cambria Math" w:hAnsi="Cambria Math"/>
            <w:sz w:val="21"/>
            <w:szCs w:val="21"/>
          </w:rPr>
          <m:t>=-λ</m:t>
        </m:r>
        <m:r>
          <w:rPr>
            <w:rFonts w:ascii="Cambria Math" w:hAnsi="Cambria Math"/>
            <w:sz w:val="21"/>
            <w:szCs w:val="21"/>
          </w:rPr>
          <m:t>dt</m:t>
        </m:r>
      </m:oMath>
    </w:p>
    <w:p w14:paraId="3B197625" w14:textId="0394C0AD" w:rsidR="00161261" w:rsidRDefault="00161261" w:rsidP="00A1392E">
      <w:pPr>
        <w:rPr>
          <w:sz w:val="21"/>
          <w:szCs w:val="21"/>
        </w:rPr>
      </w:pPr>
      <w:r>
        <w:rPr>
          <w:rFonts w:hint="eastAsia"/>
          <w:sz w:val="21"/>
          <w:szCs w:val="21"/>
        </w:rPr>
        <w:t>左辺を</w:t>
      </w:r>
      <m:oMath>
        <m:r>
          <w:rPr>
            <w:rFonts w:ascii="Cambria Math" w:hAnsi="Cambria Math"/>
            <w:sz w:val="21"/>
            <w:szCs w:val="21"/>
          </w:rPr>
          <m:t>N(t)</m:t>
        </m:r>
      </m:oMath>
      <w:proofErr w:type="gramStart"/>
      <w:r>
        <w:rPr>
          <w:rFonts w:hint="eastAsia"/>
          <w:sz w:val="21"/>
          <w:szCs w:val="21"/>
        </w:rPr>
        <w:t>に</w:t>
      </w:r>
      <w:proofErr w:type="gramEnd"/>
      <w:r>
        <w:rPr>
          <w:rFonts w:hint="eastAsia"/>
          <w:sz w:val="21"/>
          <w:szCs w:val="21"/>
        </w:rPr>
        <w:t>関する積分、右辺は</w:t>
      </w:r>
      <m:oMath>
        <m:r>
          <w:rPr>
            <w:rFonts w:ascii="Cambria Math" w:hAnsi="Cambria Math"/>
            <w:sz w:val="21"/>
            <w:szCs w:val="21"/>
          </w:rPr>
          <m:t>t</m:t>
        </m:r>
      </m:oMath>
      <w:proofErr w:type="gramStart"/>
      <w:r w:rsidR="00F6069A">
        <w:rPr>
          <w:rFonts w:hint="eastAsia"/>
          <w:sz w:val="21"/>
          <w:szCs w:val="21"/>
        </w:rPr>
        <w:t>に</w:t>
      </w:r>
      <w:proofErr w:type="gramEnd"/>
      <w:r w:rsidR="00F6069A">
        <w:rPr>
          <w:rFonts w:hint="eastAsia"/>
          <w:sz w:val="21"/>
          <w:szCs w:val="21"/>
        </w:rPr>
        <w:t>関する積分をすると、</w:t>
      </w:r>
      <m:oMath>
        <m:nary>
          <m:naryPr>
            <m:limLoc m:val="undOvr"/>
            <m:subHide m:val="1"/>
            <m:supHide m:val="1"/>
            <m:ctrlPr>
              <w:rPr>
                <w:rFonts w:ascii="Cambria Math" w:hAnsi="Cambria Math"/>
                <w:i/>
                <w:sz w:val="21"/>
                <w:szCs w:val="21"/>
              </w:rPr>
            </m:ctrlPr>
          </m:naryPr>
          <m:sub/>
          <m:sup/>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N(t)</m:t>
                </m:r>
              </m:den>
            </m:f>
            <m:r>
              <w:rPr>
                <w:rFonts w:ascii="Cambria Math" w:hAnsi="Cambria Math"/>
                <w:sz w:val="21"/>
                <w:szCs w:val="21"/>
              </w:rPr>
              <m:t>dN(t)</m:t>
            </m:r>
          </m:e>
        </m:nary>
        <m:r>
          <w:rPr>
            <w:rFonts w:ascii="Cambria Math" w:hAnsi="Cambria Math"/>
            <w:sz w:val="21"/>
            <w:szCs w:val="21"/>
          </w:rPr>
          <m:t>=</m:t>
        </m:r>
        <m:nary>
          <m:naryPr>
            <m:limLoc m:val="undOvr"/>
            <m:subHide m:val="1"/>
            <m:supHide m:val="1"/>
            <m:ctrlPr>
              <w:rPr>
                <w:rFonts w:ascii="Cambria Math" w:hAnsi="Cambria Math"/>
                <w:i/>
                <w:sz w:val="21"/>
                <w:szCs w:val="21"/>
              </w:rPr>
            </m:ctrlPr>
          </m:naryPr>
          <m:sub/>
          <m:sup/>
          <m:e>
            <m:r>
              <w:rPr>
                <w:rFonts w:ascii="Cambria Math" w:hAnsi="Cambria Math"/>
                <w:sz w:val="21"/>
                <w:szCs w:val="21"/>
              </w:rPr>
              <m:t>-λdt</m:t>
            </m:r>
          </m:e>
        </m:nary>
        <m:r>
          <w:rPr>
            <w:rFonts w:ascii="Cambria Math" w:hAnsi="Cambria Math"/>
            <w:sz w:val="21"/>
            <w:szCs w:val="21"/>
          </w:rPr>
          <m:t xml:space="preserve"> </m:t>
        </m:r>
      </m:oMath>
    </w:p>
    <w:p w14:paraId="4933C439" w14:textId="3E07E60A" w:rsidR="0095017E" w:rsidRDefault="007678A5">
      <w:pPr>
        <w:rPr>
          <w:sz w:val="21"/>
          <w:szCs w:val="21"/>
        </w:rPr>
      </w:pPr>
      <m:oMath>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ln</m:t>
            </m:r>
          </m:fName>
          <m:e>
            <m:d>
              <m:dPr>
                <m:begChr m:val="|"/>
                <m:endChr m:val="|"/>
                <m:ctrlPr>
                  <w:rPr>
                    <w:rFonts w:ascii="Cambria Math" w:hAnsi="Cambria Math"/>
                    <w:i/>
                    <w:sz w:val="21"/>
                    <w:szCs w:val="21"/>
                  </w:rPr>
                </m:ctrlPr>
              </m:dPr>
              <m:e>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t</m:t>
                    </m:r>
                  </m:e>
                </m:d>
              </m:e>
            </m:d>
          </m:e>
        </m:func>
        <m:r>
          <w:rPr>
            <w:rFonts w:ascii="Cambria Math" w:hAnsi="Cambria Math"/>
            <w:sz w:val="21"/>
            <w:szCs w:val="21"/>
          </w:rPr>
          <m:t>=</m:t>
        </m:r>
        <m:r>
          <w:rPr>
            <w:rFonts w:ascii="Cambria Math" w:hAnsi="Cambria Math"/>
            <w:sz w:val="21"/>
            <w:szCs w:val="21"/>
          </w:rPr>
          <m:t>-λt</m:t>
        </m:r>
        <m:r>
          <w:rPr>
            <w:rFonts w:ascii="Cambria Math" w:hAnsi="Cambria Math"/>
            <w:sz w:val="21"/>
            <w:szCs w:val="21"/>
          </w:rPr>
          <m:t>+C</m:t>
        </m:r>
      </m:oMath>
      <w:r w:rsidR="00B80E1A">
        <w:rPr>
          <w:rFonts w:hint="eastAsia"/>
          <w:sz w:val="21"/>
          <w:szCs w:val="21"/>
        </w:rPr>
        <w:t>(Cは積分定数)→</w:t>
      </w:r>
      <m:oMath>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-λt+C</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C</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-λt</m:t>
            </m:r>
          </m:sup>
        </m:sSup>
      </m:oMath>
    </w:p>
    <w:p w14:paraId="083C52F4" w14:textId="101850D0" w:rsidR="00E25158" w:rsidRDefault="00E25158">
      <w:pPr>
        <w:rPr>
          <w:sz w:val="21"/>
          <w:szCs w:val="21"/>
        </w:rPr>
      </w:pPr>
      <w:r>
        <w:rPr>
          <w:rFonts w:hint="eastAsia"/>
          <w:sz w:val="21"/>
          <w:szCs w:val="21"/>
        </w:rPr>
        <w:t>ここで</w:t>
      </w:r>
      <w:r w:rsidR="009576E1">
        <w:rPr>
          <w:rFonts w:hint="eastAsia"/>
          <w:sz w:val="21"/>
          <w:szCs w:val="21"/>
        </w:rPr>
        <w:t>、初期の原子数</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9576E1">
        <w:rPr>
          <w:rFonts w:hint="eastAsia"/>
          <w:sz w:val="21"/>
          <w:szCs w:val="21"/>
        </w:rPr>
        <w:t>とすると、</w:t>
      </w:r>
      <m:oMath>
        <m:r>
          <w:rPr>
            <w:rFonts w:ascii="Cambria Math" w:hAnsi="Cambria Math"/>
            <w:sz w:val="21"/>
            <w:szCs w:val="21"/>
          </w:rPr>
          <m:t>t=0</m:t>
        </m:r>
      </m:oMath>
      <w:r w:rsidR="00703700">
        <w:rPr>
          <w:rFonts w:hint="eastAsia"/>
          <w:sz w:val="21"/>
          <w:szCs w:val="21"/>
        </w:rPr>
        <w:t>で</w:t>
      </w:r>
      <m:oMath>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C</m:t>
            </m:r>
          </m:sup>
        </m:sSup>
      </m:oMath>
      <w:r w:rsidR="00703700">
        <w:rPr>
          <w:rFonts w:hint="eastAsia"/>
          <w:sz w:val="21"/>
          <w:szCs w:val="21"/>
        </w:rPr>
        <w:t>となるので、</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C</m:t>
            </m:r>
          </m:sup>
        </m:sSup>
      </m:oMath>
    </w:p>
    <w:p w14:paraId="43F15C49" w14:textId="30233064" w:rsidR="00F67508" w:rsidRDefault="00F67508">
      <w:pPr>
        <w:rPr>
          <w:sz w:val="21"/>
          <w:szCs w:val="21"/>
        </w:rPr>
      </w:pPr>
      <w:r>
        <w:rPr>
          <w:rFonts w:hint="eastAsia"/>
          <w:sz w:val="21"/>
          <w:szCs w:val="21"/>
        </w:rPr>
        <w:t>よって、</w:t>
      </w:r>
      <m:oMath>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-λt</m:t>
            </m:r>
          </m:sup>
        </m:sSup>
      </m:oMath>
      <w:r>
        <w:rPr>
          <w:rFonts w:hint="eastAsia"/>
          <w:sz w:val="21"/>
          <w:szCs w:val="21"/>
        </w:rPr>
        <w:t>と表せる。</w:t>
      </w:r>
      <w:r w:rsidR="00AD5A40">
        <w:rPr>
          <w:rFonts w:hint="eastAsia"/>
          <w:sz w:val="21"/>
          <w:szCs w:val="21"/>
        </w:rPr>
        <w:t>次に、</w:t>
      </w:r>
      <w:r w:rsidR="00F77E6D">
        <w:rPr>
          <w:rFonts w:hint="eastAsia"/>
          <w:sz w:val="21"/>
          <w:szCs w:val="21"/>
        </w:rPr>
        <w:t>実効減衰は、物理学的崩壊と生物学的</w:t>
      </w:r>
      <w:r w:rsidR="007E2522">
        <w:rPr>
          <w:rFonts w:hint="eastAsia"/>
          <w:sz w:val="21"/>
          <w:szCs w:val="21"/>
        </w:rPr>
        <w:t>減衰のそれぞれ独立した過程の和と考えることができるので、</w:t>
      </w:r>
      <w:bookmarkStart w:id="0" w:name="_Hlk185963199"/>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eff</m:t>
            </m:r>
          </m:sub>
        </m:sSub>
        <w:bookmarkEnd w:id="0"/>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phy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bio</m:t>
            </m:r>
          </m:sub>
        </m:sSub>
      </m:oMath>
      <w:r w:rsidR="009C1491">
        <w:rPr>
          <w:rFonts w:hint="eastAsia"/>
          <w:sz w:val="21"/>
          <w:szCs w:val="21"/>
        </w:rPr>
        <w:t>と表せる。</w:t>
      </w:r>
    </w:p>
    <w:p w14:paraId="0C2A133B" w14:textId="1A0A2355" w:rsidR="009A6A40" w:rsidRDefault="009A6A40">
      <w:pPr>
        <w:rPr>
          <w:sz w:val="21"/>
          <w:szCs w:val="21"/>
        </w:rPr>
      </w:pPr>
      <w:r>
        <w:rPr>
          <w:rFonts w:hint="eastAsia"/>
          <w:sz w:val="21"/>
          <w:szCs w:val="21"/>
        </w:rPr>
        <w:t>また、それぞれの半減期を</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eff</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phy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bio</m:t>
            </m:r>
          </m:sub>
        </m:sSub>
      </m:oMath>
      <w:r>
        <w:rPr>
          <w:rFonts w:hint="eastAsia"/>
          <w:sz w:val="21"/>
          <w:szCs w:val="21"/>
        </w:rPr>
        <w:t>とする</w:t>
      </w:r>
      <w:r w:rsidR="00585137">
        <w:rPr>
          <w:rFonts w:hint="eastAsia"/>
          <w:sz w:val="21"/>
          <w:szCs w:val="21"/>
        </w:rPr>
        <w:t>。実効半減期について考えると、</w:t>
      </w:r>
    </w:p>
    <w:p w14:paraId="43D32A98" w14:textId="21DA2B00" w:rsidR="00585137" w:rsidRDefault="00B1421C">
      <w:pPr>
        <w:rPr>
          <w:sz w:val="21"/>
          <w:szCs w:val="21"/>
        </w:rPr>
      </w:pPr>
      <m:oMath>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num>
          <m:den>
            <m:r>
              <w:rPr>
                <w:rFonts w:ascii="Cambria Math" w:hAnsi="Cambria Math"/>
                <w:sz w:val="21"/>
                <w:szCs w:val="21"/>
              </w:rPr>
              <m:t>2</m:t>
            </m:r>
          </m:den>
        </m:f>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eff</m:t>
                </m:r>
              </m:sub>
            </m:s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eff</m:t>
                </m:r>
              </m:sub>
            </m:sSub>
          </m:sup>
        </m:sSup>
      </m:oMath>
      <w:r w:rsidR="00BF363D">
        <w:rPr>
          <w:rFonts w:hint="eastAsia"/>
          <w:sz w:val="21"/>
          <w:szCs w:val="21"/>
        </w:rPr>
        <w:t xml:space="preserve"> 　両辺を</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proofErr w:type="gramStart"/>
      <w:r w:rsidR="00BF363D">
        <w:rPr>
          <w:rFonts w:hint="eastAsia"/>
          <w:sz w:val="21"/>
          <w:szCs w:val="21"/>
        </w:rPr>
        <w:t>で</w:t>
      </w:r>
      <w:proofErr w:type="gramEnd"/>
      <w:r w:rsidR="00BF363D">
        <w:rPr>
          <w:rFonts w:hint="eastAsia"/>
          <w:sz w:val="21"/>
          <w:szCs w:val="21"/>
        </w:rPr>
        <w:t>割り、</w:t>
      </w:r>
      <w:r w:rsidR="00724A15">
        <w:rPr>
          <w:rFonts w:hint="eastAsia"/>
          <w:sz w:val="21"/>
          <w:szCs w:val="21"/>
        </w:rPr>
        <w:t>対数を取ると</w:t>
      </w:r>
      <m:oMath>
        <m:func>
          <m:funcPr>
            <m:ctrlPr>
              <w:rPr>
                <w:rFonts w:ascii="Cambria Math" w:hAnsi="Cambria Math"/>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e>
            </m:d>
          </m:e>
        </m:func>
        <m:r>
          <w:rPr>
            <w:rFonts w:ascii="Cambria Math" w:hAnsi="Cambria Math"/>
            <w:sz w:val="21"/>
            <w:szCs w:val="21"/>
          </w:rPr>
          <m:t>=</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eff</m:t>
            </m:r>
          </m:sub>
        </m:s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eff</m:t>
            </m:r>
          </m:sub>
        </m:sSub>
      </m:oMath>
      <w:r w:rsidR="000B2A73">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eff</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eff</m:t>
                </m:r>
              </m:sub>
            </m:sSub>
          </m:den>
        </m:f>
      </m:oMath>
    </w:p>
    <w:p w14:paraId="0EFC659B" w14:textId="29D952AD" w:rsidR="000174C6" w:rsidRDefault="00F51314">
      <w:pPr>
        <w:rPr>
          <w:sz w:val="21"/>
          <w:szCs w:val="21"/>
        </w:rPr>
      </w:pPr>
      <w:r>
        <w:rPr>
          <w:rFonts w:hint="eastAsia"/>
          <w:sz w:val="21"/>
          <w:szCs w:val="21"/>
        </w:rPr>
        <w:t>物理学的半減期と生物学的半減期でも同様に考えると、</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phy</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phy</m:t>
                </m:r>
              </m:sub>
            </m:sSub>
          </m:den>
        </m:f>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bio</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bio</m:t>
                </m:r>
              </m:sub>
            </m:sSub>
          </m:den>
        </m:f>
      </m:oMath>
      <w:r w:rsidR="00811175">
        <w:rPr>
          <w:rFonts w:hint="eastAsia"/>
          <w:sz w:val="21"/>
          <w:szCs w:val="21"/>
        </w:rPr>
        <w:t>となる。</w:t>
      </w:r>
    </w:p>
    <w:p w14:paraId="2F79FEE9" w14:textId="66CF29E3" w:rsidR="00811175" w:rsidRDefault="00811175">
      <w:pPr>
        <w:rPr>
          <w:sz w:val="21"/>
          <w:szCs w:val="21"/>
        </w:rPr>
      </w:pP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eff</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phy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bio</m:t>
            </m:r>
          </m:sub>
        </m:sSub>
      </m:oMath>
      <w:r>
        <w:rPr>
          <w:rFonts w:hint="eastAsia"/>
          <w:sz w:val="21"/>
          <w:szCs w:val="21"/>
        </w:rPr>
        <w:t>より、</w:t>
      </w:r>
      <m:oMath>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eff</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phy</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ln2</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bio</m:t>
                </m:r>
              </m:sub>
            </m:sSub>
          </m:den>
        </m:f>
      </m:oMath>
      <w:r w:rsidR="00F14C16">
        <w:rPr>
          <w:rFonts w:hint="eastAsia"/>
          <w:sz w:val="21"/>
          <w:szCs w:val="21"/>
        </w:rPr>
        <w:t>→</w:t>
      </w:r>
      <m:oMath>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eff</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phy</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bio</m:t>
                </m:r>
              </m:sub>
            </m:sSub>
          </m:den>
        </m:f>
      </m:oMath>
    </w:p>
    <w:p w14:paraId="34DC2C85" w14:textId="44F0CABB" w:rsidR="00F14C16" w:rsidRPr="00F14C16" w:rsidRDefault="00F14C16">
      <w:pPr>
        <w:rPr>
          <w:rFonts w:hint="eastAsia"/>
          <w:iCs/>
          <w:sz w:val="21"/>
          <w:szCs w:val="21"/>
        </w:rPr>
      </w:pPr>
      <w:r>
        <w:rPr>
          <w:rFonts w:hint="eastAsia"/>
          <w:iCs/>
          <w:sz w:val="21"/>
          <w:szCs w:val="21"/>
        </w:rPr>
        <w:t>これで、</w:t>
      </w:r>
      <w:r w:rsidRPr="00A516FA">
        <w:t>実効半減期の逆数が物理学的半減期の逆数と生物学的半減期の和で表すことが出来る事を</w:t>
      </w:r>
      <w:r>
        <w:rPr>
          <w:rFonts w:hint="eastAsia"/>
        </w:rPr>
        <w:t>導くことができた。</w:t>
      </w:r>
    </w:p>
    <w:p w14:paraId="737B961B" w14:textId="77777777" w:rsidR="00FB6346" w:rsidRPr="00E25158" w:rsidRDefault="00FB6346">
      <w:pPr>
        <w:rPr>
          <w:rFonts w:hint="eastAsia"/>
          <w:sz w:val="21"/>
          <w:szCs w:val="21"/>
        </w:rPr>
      </w:pPr>
    </w:p>
    <w:sectPr w:rsidR="00FB6346" w:rsidRPr="00E251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636B" w14:textId="77777777" w:rsidR="0095017E" w:rsidRDefault="0095017E" w:rsidP="0095017E">
      <w:pPr>
        <w:spacing w:after="0" w:line="240" w:lineRule="auto"/>
      </w:pPr>
      <w:r>
        <w:separator/>
      </w:r>
    </w:p>
  </w:endnote>
  <w:endnote w:type="continuationSeparator" w:id="0">
    <w:p w14:paraId="239B9E5A" w14:textId="77777777" w:rsidR="0095017E" w:rsidRDefault="0095017E" w:rsidP="0095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C9F5A" w14:textId="77777777" w:rsidR="0095017E" w:rsidRDefault="0095017E" w:rsidP="0095017E">
      <w:pPr>
        <w:spacing w:after="0" w:line="240" w:lineRule="auto"/>
      </w:pPr>
      <w:r>
        <w:separator/>
      </w:r>
    </w:p>
  </w:footnote>
  <w:footnote w:type="continuationSeparator" w:id="0">
    <w:p w14:paraId="16E36E3F" w14:textId="77777777" w:rsidR="0095017E" w:rsidRDefault="0095017E" w:rsidP="0095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FA"/>
    <w:rsid w:val="000174C6"/>
    <w:rsid w:val="00050E0A"/>
    <w:rsid w:val="000B2A73"/>
    <w:rsid w:val="00161261"/>
    <w:rsid w:val="001F1AF9"/>
    <w:rsid w:val="002304BC"/>
    <w:rsid w:val="002F62CA"/>
    <w:rsid w:val="00394FDB"/>
    <w:rsid w:val="00585137"/>
    <w:rsid w:val="00595078"/>
    <w:rsid w:val="005D354E"/>
    <w:rsid w:val="00680C4C"/>
    <w:rsid w:val="006B7518"/>
    <w:rsid w:val="00703700"/>
    <w:rsid w:val="00724A15"/>
    <w:rsid w:val="007678A5"/>
    <w:rsid w:val="007A023A"/>
    <w:rsid w:val="007C00F9"/>
    <w:rsid w:val="007D03F9"/>
    <w:rsid w:val="007E2522"/>
    <w:rsid w:val="00811175"/>
    <w:rsid w:val="00820A5F"/>
    <w:rsid w:val="008B427B"/>
    <w:rsid w:val="0095017E"/>
    <w:rsid w:val="009576E1"/>
    <w:rsid w:val="009A6A40"/>
    <w:rsid w:val="009C1491"/>
    <w:rsid w:val="00A1392E"/>
    <w:rsid w:val="00A516FA"/>
    <w:rsid w:val="00AD4B71"/>
    <w:rsid w:val="00AD5A40"/>
    <w:rsid w:val="00B1421C"/>
    <w:rsid w:val="00B80E1A"/>
    <w:rsid w:val="00BF363D"/>
    <w:rsid w:val="00CE08A7"/>
    <w:rsid w:val="00D46F95"/>
    <w:rsid w:val="00E25158"/>
    <w:rsid w:val="00EC5613"/>
    <w:rsid w:val="00F14C16"/>
    <w:rsid w:val="00F51314"/>
    <w:rsid w:val="00F6069A"/>
    <w:rsid w:val="00F67508"/>
    <w:rsid w:val="00F77E6D"/>
    <w:rsid w:val="00FB6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3A85FA"/>
  <w15:chartTrackingRefBased/>
  <w15:docId w15:val="{C4CCE5D8-FB89-4C09-81B5-A30AAE9E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16F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516F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516F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516F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516F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516F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516F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516F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516F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16F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516F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516F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516F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516F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516F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516F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516F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516F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516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516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6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516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16FA"/>
    <w:pPr>
      <w:spacing w:before="160"/>
      <w:jc w:val="center"/>
    </w:pPr>
    <w:rPr>
      <w:i/>
      <w:iCs/>
      <w:color w:val="404040" w:themeColor="text1" w:themeTint="BF"/>
    </w:rPr>
  </w:style>
  <w:style w:type="character" w:customStyle="1" w:styleId="a8">
    <w:name w:val="引用文 (文字)"/>
    <w:basedOn w:val="a0"/>
    <w:link w:val="a7"/>
    <w:uiPriority w:val="29"/>
    <w:rsid w:val="00A516FA"/>
    <w:rPr>
      <w:i/>
      <w:iCs/>
      <w:color w:val="404040" w:themeColor="text1" w:themeTint="BF"/>
    </w:rPr>
  </w:style>
  <w:style w:type="paragraph" w:styleId="a9">
    <w:name w:val="List Paragraph"/>
    <w:basedOn w:val="a"/>
    <w:uiPriority w:val="34"/>
    <w:qFormat/>
    <w:rsid w:val="00A516FA"/>
    <w:pPr>
      <w:ind w:left="720"/>
      <w:contextualSpacing/>
    </w:pPr>
  </w:style>
  <w:style w:type="character" w:styleId="21">
    <w:name w:val="Intense Emphasis"/>
    <w:basedOn w:val="a0"/>
    <w:uiPriority w:val="21"/>
    <w:qFormat/>
    <w:rsid w:val="00A516FA"/>
    <w:rPr>
      <w:i/>
      <w:iCs/>
      <w:color w:val="0F4761" w:themeColor="accent1" w:themeShade="BF"/>
    </w:rPr>
  </w:style>
  <w:style w:type="paragraph" w:styleId="22">
    <w:name w:val="Intense Quote"/>
    <w:basedOn w:val="a"/>
    <w:next w:val="a"/>
    <w:link w:val="23"/>
    <w:uiPriority w:val="30"/>
    <w:qFormat/>
    <w:rsid w:val="00A51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516FA"/>
    <w:rPr>
      <w:i/>
      <w:iCs/>
      <w:color w:val="0F4761" w:themeColor="accent1" w:themeShade="BF"/>
    </w:rPr>
  </w:style>
  <w:style w:type="character" w:styleId="24">
    <w:name w:val="Intense Reference"/>
    <w:basedOn w:val="a0"/>
    <w:uiPriority w:val="32"/>
    <w:qFormat/>
    <w:rsid w:val="00A516FA"/>
    <w:rPr>
      <w:b/>
      <w:bCs/>
      <w:smallCaps/>
      <w:color w:val="0F4761" w:themeColor="accent1" w:themeShade="BF"/>
      <w:spacing w:val="5"/>
    </w:rPr>
  </w:style>
  <w:style w:type="paragraph" w:styleId="aa">
    <w:name w:val="header"/>
    <w:basedOn w:val="a"/>
    <w:link w:val="ab"/>
    <w:uiPriority w:val="99"/>
    <w:unhideWhenUsed/>
    <w:rsid w:val="0095017E"/>
    <w:pPr>
      <w:tabs>
        <w:tab w:val="center" w:pos="4252"/>
        <w:tab w:val="right" w:pos="8504"/>
      </w:tabs>
      <w:snapToGrid w:val="0"/>
    </w:pPr>
  </w:style>
  <w:style w:type="character" w:customStyle="1" w:styleId="ab">
    <w:name w:val="ヘッダー (文字)"/>
    <w:basedOn w:val="a0"/>
    <w:link w:val="aa"/>
    <w:uiPriority w:val="99"/>
    <w:rsid w:val="0095017E"/>
  </w:style>
  <w:style w:type="paragraph" w:styleId="ac">
    <w:name w:val="footer"/>
    <w:basedOn w:val="a"/>
    <w:link w:val="ad"/>
    <w:uiPriority w:val="99"/>
    <w:unhideWhenUsed/>
    <w:rsid w:val="0095017E"/>
    <w:pPr>
      <w:tabs>
        <w:tab w:val="center" w:pos="4252"/>
        <w:tab w:val="right" w:pos="8504"/>
      </w:tabs>
      <w:snapToGrid w:val="0"/>
    </w:pPr>
  </w:style>
  <w:style w:type="character" w:customStyle="1" w:styleId="ad">
    <w:name w:val="フッター (文字)"/>
    <w:basedOn w:val="a0"/>
    <w:link w:val="ac"/>
    <w:uiPriority w:val="99"/>
    <w:rsid w:val="0095017E"/>
  </w:style>
  <w:style w:type="character" w:styleId="ae">
    <w:name w:val="Placeholder Text"/>
    <w:basedOn w:val="a0"/>
    <w:uiPriority w:val="99"/>
    <w:semiHidden/>
    <w:rsid w:val="006B75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2</cp:revision>
  <dcterms:created xsi:type="dcterms:W3CDTF">2024-12-24T11:21:00Z</dcterms:created>
  <dcterms:modified xsi:type="dcterms:W3CDTF">2024-12-24T11:21:00Z</dcterms:modified>
</cp:coreProperties>
</file>