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6D5EA" w14:textId="68918B39" w:rsidR="002F62CA" w:rsidRDefault="00C15132">
      <w:r>
        <w:rPr>
          <w:rFonts w:hint="eastAsia"/>
        </w:rPr>
        <w:t>知的財産権の基礎知識</w:t>
      </w:r>
    </w:p>
    <w:p w14:paraId="76C52E7F" w14:textId="0595C4F0" w:rsidR="00A44579" w:rsidRDefault="00A44579">
      <w:r>
        <w:rPr>
          <w:rFonts w:hint="eastAsia"/>
        </w:rPr>
        <w:t>１</w:t>
      </w:r>
    </w:p>
    <w:p w14:paraId="7A894344" w14:textId="1675271F" w:rsidR="00C15132" w:rsidRDefault="00C15132">
      <w:r>
        <w:rPr>
          <w:rFonts w:hint="eastAsia"/>
        </w:rPr>
        <w:t>甲</w:t>
      </w:r>
      <w:r w:rsidR="00B171DB">
        <w:rPr>
          <w:rFonts w:hint="eastAsia"/>
        </w:rPr>
        <w:t>が</w:t>
      </w:r>
      <w:r>
        <w:rPr>
          <w:rFonts w:hint="eastAsia"/>
        </w:rPr>
        <w:t>乙に対して著作権侵害を主張するためには、当該ランタンが著作権法上の「著作物」に該当する必要</w:t>
      </w:r>
      <w:r w:rsidR="001F60AE">
        <w:rPr>
          <w:rFonts w:hint="eastAsia"/>
        </w:rPr>
        <w:t>が</w:t>
      </w:r>
      <w:r>
        <w:rPr>
          <w:rFonts w:hint="eastAsia"/>
        </w:rPr>
        <w:t>あり、特に「著作物性(創作性)」が認められるかが重要となる。また、ランタンが実用品であることから、著作権法による保護が制限される可能性も考慮する必要がある。</w:t>
      </w:r>
    </w:p>
    <w:p w14:paraId="2E22C95E" w14:textId="5FB8B60B" w:rsidR="005D07B0" w:rsidRDefault="00E012A9" w:rsidP="005D07B0">
      <w:r>
        <w:rPr>
          <w:rFonts w:hint="eastAsia"/>
        </w:rPr>
        <w:t>甲のランタンが著作物として認められるためには、創作性があり、芸術性が一定程度認められる必要</w:t>
      </w:r>
      <w:r w:rsidR="002F7EB3">
        <w:rPr>
          <w:rFonts w:hint="eastAsia"/>
        </w:rPr>
        <w:t>が</w:t>
      </w:r>
      <w:r>
        <w:rPr>
          <w:rFonts w:hint="eastAsia"/>
        </w:rPr>
        <w:t>ある。</w:t>
      </w:r>
    </w:p>
    <w:p w14:paraId="7598594B" w14:textId="1EF813F8" w:rsidR="00E012A9" w:rsidRDefault="00E012A9" w:rsidP="005D07B0">
      <w:r>
        <w:rPr>
          <w:rFonts w:hint="eastAsia"/>
        </w:rPr>
        <w:t>まず、写真にある甲のランタンが単に伝統的な和紙ランタンの形状や模様を踏襲したものにすぎない場合、</w:t>
      </w:r>
      <w:r w:rsidRPr="00B1694F">
        <w:rPr>
          <w:rFonts w:hint="eastAsia"/>
          <w:u w:val="single"/>
        </w:rPr>
        <w:t>それは既存の意匠と大きな差異がないと判断され、</w:t>
      </w:r>
      <w:r>
        <w:rPr>
          <w:rFonts w:hint="eastAsia"/>
        </w:rPr>
        <w:t>著作物としての創作性が認められない可能性が高い。</w:t>
      </w:r>
    </w:p>
    <w:p w14:paraId="43A3D124" w14:textId="58400436" w:rsidR="008646FA" w:rsidRDefault="00313044" w:rsidP="00B171DB">
      <w:pPr>
        <w:ind w:firstLineChars="100" w:firstLine="210"/>
      </w:pPr>
      <w:r>
        <w:rPr>
          <w:rFonts w:hint="eastAsia"/>
        </w:rPr>
        <w:t>そして</w:t>
      </w:r>
      <w:r w:rsidR="00E012A9">
        <w:rPr>
          <w:rFonts w:hint="eastAsia"/>
        </w:rPr>
        <w:t>、もし</w:t>
      </w:r>
      <w:r w:rsidR="008646FA">
        <w:rPr>
          <w:rFonts w:hint="eastAsia"/>
        </w:rPr>
        <w:t>ランタン</w:t>
      </w:r>
      <w:r w:rsidR="00E012A9">
        <w:rPr>
          <w:rFonts w:hint="eastAsia"/>
        </w:rPr>
        <w:t>が独創的なデザインであっても、</w:t>
      </w:r>
      <w:r w:rsidR="008646FA">
        <w:rPr>
          <w:rFonts w:hint="eastAsia"/>
        </w:rPr>
        <w:t>単なるパターンの組み合わせやありふれた装飾に</w:t>
      </w:r>
      <w:r w:rsidR="008452F0">
        <w:rPr>
          <w:rFonts w:hint="eastAsia"/>
        </w:rPr>
        <w:t>す</w:t>
      </w:r>
      <w:r w:rsidR="008646FA">
        <w:rPr>
          <w:rFonts w:hint="eastAsia"/>
        </w:rPr>
        <w:t>ぎない場合、</w:t>
      </w:r>
      <w:r w:rsidR="005D07B0">
        <w:rPr>
          <w:rFonts w:hint="eastAsia"/>
        </w:rPr>
        <w:t>芸術性がないと判断され、</w:t>
      </w:r>
      <w:r w:rsidR="00E012A9">
        <w:rPr>
          <w:rFonts w:hint="eastAsia"/>
        </w:rPr>
        <w:t>著作権での保護は難しい。</w:t>
      </w:r>
    </w:p>
    <w:p w14:paraId="7B1C5191" w14:textId="77777777" w:rsidR="00B171DB" w:rsidRDefault="00B171DB" w:rsidP="00B171DB">
      <w:pPr>
        <w:ind w:firstLineChars="100" w:firstLine="210"/>
      </w:pPr>
    </w:p>
    <w:p w14:paraId="25F307AC" w14:textId="4EC92682" w:rsidR="00313044" w:rsidRDefault="00313044" w:rsidP="005D07B0">
      <w:pPr>
        <w:ind w:firstLineChars="100" w:firstLine="210"/>
      </w:pPr>
      <w:r>
        <w:rPr>
          <w:rFonts w:hint="eastAsia"/>
        </w:rPr>
        <w:t>次に、実用品としての機能性の観点から考える。まず、ランタンは、「光を灯す」という機能を持つ実用品であり、甲のランタンの形状や構造が主に機能的要請に基づいて決定されているのならば、著作権での保護は難しくなる。しかし、「完全に装飾的なデザイン」であり、美的表現が主体であれば、著作権保護の可能性は高くなる。</w:t>
      </w:r>
    </w:p>
    <w:p w14:paraId="639505CF" w14:textId="114E6D14" w:rsidR="00313044" w:rsidRPr="00B1694F" w:rsidRDefault="00313044" w:rsidP="00313044">
      <w:pPr>
        <w:rPr>
          <w:u w:val="single"/>
        </w:rPr>
      </w:pPr>
      <w:r w:rsidRPr="00B1694F">
        <w:rPr>
          <w:rFonts w:hint="eastAsia"/>
          <w:u w:val="single"/>
        </w:rPr>
        <w:t>よって、写真にある甲のランタンが主に実用性を重視したデザインである場合、著作権の保護を受けることは難しい。</w:t>
      </w:r>
    </w:p>
    <w:p w14:paraId="14A31760" w14:textId="77777777" w:rsidR="00313044" w:rsidRDefault="00313044" w:rsidP="00313044"/>
    <w:p w14:paraId="174A46D0" w14:textId="4B4C8D56" w:rsidR="00313044" w:rsidRDefault="00B171DB" w:rsidP="00B171DB">
      <w:pPr>
        <w:ind w:firstLineChars="100" w:firstLine="210"/>
      </w:pPr>
      <w:r>
        <w:rPr>
          <w:rFonts w:hint="eastAsia"/>
        </w:rPr>
        <w:t>つまり、写真の和紙ランタンが単なる実用品の形状ではなく、伝統的なデザインの範囲を超えた独自性の高い創作であり、美術工芸品としての芸術性を備えていると判断された場合には、著作物性が認められる可能性が高い。</w:t>
      </w:r>
      <w:r w:rsidR="00313044">
        <w:rPr>
          <w:rFonts w:hint="eastAsia"/>
        </w:rPr>
        <w:t>そうであれば、著作権侵害を主張し、販売差し止めや損害賠償請求が可能となることがある。</w:t>
      </w:r>
    </w:p>
    <w:p w14:paraId="19722EE9" w14:textId="20ECAEC3" w:rsidR="00B171DB" w:rsidRDefault="00B171DB" w:rsidP="005D07B0">
      <w:pPr>
        <w:ind w:firstLineChars="100" w:firstLine="210"/>
      </w:pPr>
      <w:r>
        <w:rPr>
          <w:rFonts w:hint="eastAsia"/>
        </w:rPr>
        <w:t>一方、写真のランタンが和紙ランタンとして一般的に存在するデザインの範囲にとどまり、ランタンの形状やデザインが機能性要請に基づく場合は、著作権の保護対象とならず、乙に対して著作権侵害を主張することは難しくなる。</w:t>
      </w:r>
    </w:p>
    <w:p w14:paraId="77C1FFF8" w14:textId="7FC263B5" w:rsidR="009330B8" w:rsidRDefault="00B171DB" w:rsidP="009330B8">
      <w:pPr>
        <w:ind w:firstLineChars="100" w:firstLine="210"/>
        <w:rPr>
          <w:rFonts w:hint="eastAsia"/>
        </w:rPr>
      </w:pPr>
      <w:r>
        <w:rPr>
          <w:rFonts w:hint="eastAsia"/>
        </w:rPr>
        <w:t>主観的</w:t>
      </w:r>
      <w:r w:rsidR="005D07B0">
        <w:rPr>
          <w:rFonts w:hint="eastAsia"/>
        </w:rPr>
        <w:t>に</w:t>
      </w:r>
      <w:r>
        <w:rPr>
          <w:rFonts w:hint="eastAsia"/>
        </w:rPr>
        <w:t>判断すると、写真のランタンは独創的なデザインで</w:t>
      </w:r>
      <w:r w:rsidR="005D07B0">
        <w:rPr>
          <w:rFonts w:hint="eastAsia"/>
        </w:rPr>
        <w:t>著作物性</w:t>
      </w:r>
      <w:r>
        <w:rPr>
          <w:rFonts w:hint="eastAsia"/>
        </w:rPr>
        <w:t>があり、</w:t>
      </w:r>
      <w:r w:rsidR="005D07B0">
        <w:rPr>
          <w:rFonts w:hint="eastAsia"/>
        </w:rPr>
        <w:t>機能性が強い</w:t>
      </w:r>
      <w:r>
        <w:rPr>
          <w:rFonts w:hint="eastAsia"/>
        </w:rPr>
        <w:t>単なる実用品としての役割ではなく、美術工芸品としての芸術性を備えていると思われるので、著作権侵害を主張することができるのではないかと考える。</w:t>
      </w:r>
    </w:p>
    <w:p w14:paraId="4A6AA84C" w14:textId="77777777" w:rsidR="001C36B1" w:rsidRDefault="001C36B1" w:rsidP="001C36B1">
      <w:pPr>
        <w:ind w:firstLineChars="100" w:firstLine="210"/>
      </w:pPr>
    </w:p>
    <w:p w14:paraId="1135CDA4" w14:textId="77777777" w:rsidR="001C36B1" w:rsidRDefault="001C36B1" w:rsidP="001C36B1">
      <w:pPr>
        <w:ind w:firstLineChars="100" w:firstLine="210"/>
      </w:pPr>
    </w:p>
    <w:p w14:paraId="2EDD2935" w14:textId="77777777" w:rsidR="001C36B1" w:rsidRDefault="001C36B1" w:rsidP="001C36B1">
      <w:pPr>
        <w:ind w:firstLineChars="100" w:firstLine="210"/>
      </w:pPr>
    </w:p>
    <w:p w14:paraId="2FEFAE4F" w14:textId="77777777" w:rsidR="001C36B1" w:rsidRDefault="001C36B1" w:rsidP="001C36B1">
      <w:pPr>
        <w:ind w:firstLineChars="100" w:firstLine="210"/>
      </w:pPr>
    </w:p>
    <w:p w14:paraId="032D2CD9" w14:textId="77777777" w:rsidR="001C36B1" w:rsidRDefault="001C36B1" w:rsidP="001C36B1">
      <w:pPr>
        <w:ind w:firstLineChars="100" w:firstLine="210"/>
      </w:pPr>
    </w:p>
    <w:p w14:paraId="201D9378" w14:textId="40F719BB" w:rsidR="001C36B1" w:rsidRDefault="001C36B1" w:rsidP="001C36B1">
      <w:pPr>
        <w:ind w:firstLineChars="100" w:firstLine="210"/>
      </w:pPr>
      <w:r>
        <w:rPr>
          <w:rFonts w:hint="eastAsia"/>
        </w:rPr>
        <w:lastRenderedPageBreak/>
        <w:t xml:space="preserve">２　特許の要件　</w:t>
      </w:r>
      <w:r w:rsidR="002F6C32">
        <w:rPr>
          <w:rFonts w:hint="eastAsia"/>
        </w:rPr>
        <w:t>８つ以上</w:t>
      </w:r>
    </w:p>
    <w:p w14:paraId="416D73DC" w14:textId="77777777" w:rsidR="002F0BB8" w:rsidRDefault="002F0BB8" w:rsidP="002F0BB8">
      <w:pPr>
        <w:ind w:firstLineChars="100" w:firstLine="210"/>
      </w:pPr>
      <w:r>
        <w:t>1. 発明性</w:t>
      </w:r>
    </w:p>
    <w:p w14:paraId="1F02A01B" w14:textId="77777777" w:rsidR="002F0BB8" w:rsidRDefault="002F0BB8" w:rsidP="0046336D">
      <w:pPr>
        <w:ind w:leftChars="100" w:left="420" w:hangingChars="100" w:hanging="210"/>
      </w:pPr>
      <w:r>
        <w:rPr>
          <w:rFonts w:hint="eastAsia"/>
        </w:rPr>
        <w:t>・発明であることが必要。単なる発見や自然法則ではなく、技術的なアイデアや方法が含まれている必要がある。</w:t>
      </w:r>
    </w:p>
    <w:p w14:paraId="42C4F5D7" w14:textId="77777777" w:rsidR="002F0BB8" w:rsidRDefault="002F0BB8" w:rsidP="002F0BB8">
      <w:pPr>
        <w:ind w:firstLineChars="100" w:firstLine="210"/>
      </w:pPr>
      <w:r>
        <w:t>2. 産業上利用性</w:t>
      </w:r>
    </w:p>
    <w:p w14:paraId="1917FE44" w14:textId="77777777" w:rsidR="002F0BB8" w:rsidRDefault="002F0BB8" w:rsidP="0046336D">
      <w:pPr>
        <w:ind w:leftChars="100" w:left="420" w:hangingChars="100" w:hanging="210"/>
      </w:pPr>
      <w:r>
        <w:rPr>
          <w:rFonts w:hint="eastAsia"/>
        </w:rPr>
        <w:t>・産業で利用できること。理論や抽象的な概念ではなく、実際の技術として活用可能でなければならない。</w:t>
      </w:r>
    </w:p>
    <w:p w14:paraId="48824348" w14:textId="77777777" w:rsidR="002F0BB8" w:rsidRDefault="002F0BB8" w:rsidP="002F0BB8">
      <w:pPr>
        <w:ind w:firstLineChars="100" w:firstLine="210"/>
      </w:pPr>
      <w:r>
        <w:t>3. 新規性</w:t>
      </w:r>
    </w:p>
    <w:p w14:paraId="09A2325E" w14:textId="2115EE67" w:rsidR="002F0BB8" w:rsidRDefault="002F0BB8" w:rsidP="00740254">
      <w:pPr>
        <w:ind w:leftChars="100" w:left="420" w:hangingChars="100" w:hanging="210"/>
        <w:rPr>
          <w:rFonts w:hint="eastAsia"/>
        </w:rPr>
      </w:pPr>
      <w:r>
        <w:rPr>
          <w:rFonts w:hint="eastAsia"/>
        </w:rPr>
        <w:t>・これまでに公開されていないこと。特許出願前に公知</w:t>
      </w:r>
      <w:r>
        <w:t>となっていた場合、新規性がないと判断される。</w:t>
      </w:r>
      <w:r w:rsidR="002A06E1">
        <w:rPr>
          <w:rFonts w:hint="eastAsia"/>
        </w:rPr>
        <w:t>しかし、学会や論文などで自ら公表してしまった場合、</w:t>
      </w:r>
      <w:r w:rsidR="007F5F35">
        <w:rPr>
          <w:rFonts w:hint="eastAsia"/>
        </w:rPr>
        <w:t>他人が勝手に公開した場合や、国指定の特定の展示会で公開した場合などは、新規性の喪失の例外が適応されることがある。</w:t>
      </w:r>
    </w:p>
    <w:p w14:paraId="2E72F26D" w14:textId="77777777" w:rsidR="002F0BB8" w:rsidRDefault="002F0BB8" w:rsidP="002F0BB8">
      <w:pPr>
        <w:ind w:firstLineChars="100" w:firstLine="210"/>
      </w:pPr>
      <w:r>
        <w:t>4. 進歩性</w:t>
      </w:r>
    </w:p>
    <w:p w14:paraId="0ACB14DF" w14:textId="77777777" w:rsidR="002F0BB8" w:rsidRDefault="002F0BB8" w:rsidP="0046336D">
      <w:pPr>
        <w:ind w:leftChars="100" w:left="420" w:hangingChars="100" w:hanging="210"/>
      </w:pPr>
      <w:r>
        <w:rPr>
          <w:rFonts w:hint="eastAsia"/>
        </w:rPr>
        <w:t>・既存技術から容易に考え出せないこと。単なる組み合わせや改良ではなく、新しい技術的な工夫が必要。</w:t>
      </w:r>
    </w:p>
    <w:p w14:paraId="2BEC5740" w14:textId="77777777" w:rsidR="002F0BB8" w:rsidRDefault="002F0BB8" w:rsidP="002F0BB8">
      <w:pPr>
        <w:ind w:firstLineChars="100" w:firstLine="210"/>
      </w:pPr>
      <w:r>
        <w:t>5. 明確性</w:t>
      </w:r>
    </w:p>
    <w:p w14:paraId="24DBFA7C" w14:textId="77777777" w:rsidR="002F0BB8" w:rsidRDefault="002F0BB8" w:rsidP="0046336D">
      <w:pPr>
        <w:ind w:leftChars="100" w:left="420" w:hangingChars="100" w:hanging="210"/>
      </w:pPr>
      <w:r>
        <w:rPr>
          <w:rFonts w:hint="eastAsia"/>
        </w:rPr>
        <w:t>・</w:t>
      </w:r>
      <w:r>
        <w:t xml:space="preserve"> 発明の内容が明確に記載されていること。特許請求の範囲 （クレーム） があいまいではなく、誰が読んでも技術内容が理解できる必要がある。</w:t>
      </w:r>
    </w:p>
    <w:p w14:paraId="26251E6C" w14:textId="77777777" w:rsidR="002F0BB8" w:rsidRDefault="002F0BB8" w:rsidP="002F0BB8">
      <w:pPr>
        <w:ind w:firstLineChars="100" w:firstLine="210"/>
      </w:pPr>
      <w:r>
        <w:t>6. 出願人適格を満たす</w:t>
      </w:r>
    </w:p>
    <w:p w14:paraId="7BD2D065" w14:textId="3E6F13E9" w:rsidR="002F0BB8" w:rsidRDefault="002F0BB8" w:rsidP="00CE4207">
      <w:pPr>
        <w:ind w:leftChars="100" w:left="420" w:hangingChars="100" w:hanging="210"/>
      </w:pPr>
      <w:r>
        <w:rPr>
          <w:rFonts w:hint="eastAsia"/>
        </w:rPr>
        <w:t>・適格な出願人であること。発明者本人または適切に権利を引き継いだ者（企業など）が出願しなければならない。</w:t>
      </w:r>
    </w:p>
    <w:p w14:paraId="6191BAD6" w14:textId="77777777" w:rsidR="002F0BB8" w:rsidRDefault="002F0BB8" w:rsidP="002F0BB8">
      <w:pPr>
        <w:ind w:firstLineChars="100" w:firstLine="210"/>
      </w:pPr>
      <w:r>
        <w:t>7. 先願である</w:t>
      </w:r>
    </w:p>
    <w:p w14:paraId="2EB97F3B" w14:textId="77777777" w:rsidR="002F0BB8" w:rsidRDefault="002F0BB8" w:rsidP="00EE1B6D">
      <w:pPr>
        <w:ind w:leftChars="100" w:left="210"/>
      </w:pPr>
      <w:r>
        <w:rPr>
          <w:rFonts w:hint="eastAsia"/>
        </w:rPr>
        <w:t>・他の誰よりも先に出願していること。特許制度では「先願主義」が採用されており、最初に出願した者が権利を得る。</w:t>
      </w:r>
    </w:p>
    <w:p w14:paraId="1D52CBF5" w14:textId="77777777" w:rsidR="002F0BB8" w:rsidRDefault="002F0BB8" w:rsidP="002F0BB8">
      <w:pPr>
        <w:ind w:firstLineChars="100" w:firstLine="210"/>
      </w:pPr>
      <w:r>
        <w:t>8. 公序良俗違反ではない</w:t>
      </w:r>
    </w:p>
    <w:p w14:paraId="1E8E15E3" w14:textId="63DC1CC1" w:rsidR="009330B8" w:rsidRDefault="002F0BB8" w:rsidP="00EC4D3A">
      <w:pPr>
        <w:ind w:leftChars="100" w:left="420" w:hangingChars="100" w:hanging="210"/>
      </w:pPr>
      <w:r>
        <w:rPr>
          <w:rFonts w:hint="eastAsia"/>
        </w:rPr>
        <w:t>・社会の倫理や法律に反しないこと。例えば、人のクローン技術や犯罪の助長につながる技術は特許にならない</w:t>
      </w:r>
    </w:p>
    <w:p w14:paraId="7B1C7829" w14:textId="77777777" w:rsidR="00EC4D3A" w:rsidRDefault="00EC4D3A" w:rsidP="00EC4D3A">
      <w:pPr>
        <w:ind w:leftChars="100" w:left="420" w:hangingChars="100" w:hanging="210"/>
      </w:pPr>
    </w:p>
    <w:p w14:paraId="7D13A9A8" w14:textId="77777777" w:rsidR="00EC4D3A" w:rsidRDefault="00EC4D3A" w:rsidP="00EC4D3A">
      <w:pPr>
        <w:ind w:leftChars="100" w:left="420" w:hangingChars="100" w:hanging="210"/>
      </w:pPr>
    </w:p>
    <w:p w14:paraId="72FEEC4C" w14:textId="77777777" w:rsidR="00EC4D3A" w:rsidRDefault="00EC4D3A" w:rsidP="00EC4D3A">
      <w:pPr>
        <w:ind w:leftChars="100" w:left="420" w:hangingChars="100" w:hanging="210"/>
      </w:pPr>
    </w:p>
    <w:p w14:paraId="2006EF63" w14:textId="77777777" w:rsidR="00EC4D3A" w:rsidRDefault="00EC4D3A" w:rsidP="00EC4D3A">
      <w:pPr>
        <w:ind w:leftChars="100" w:left="420" w:hangingChars="100" w:hanging="210"/>
      </w:pPr>
    </w:p>
    <w:p w14:paraId="20E8BAC0" w14:textId="77777777" w:rsidR="00EC4D3A" w:rsidRDefault="00EC4D3A" w:rsidP="00EC4D3A">
      <w:pPr>
        <w:ind w:leftChars="100" w:left="420" w:hangingChars="100" w:hanging="210"/>
      </w:pPr>
    </w:p>
    <w:p w14:paraId="0F7BDDFF" w14:textId="77777777" w:rsidR="00EC4D3A" w:rsidRDefault="00EC4D3A" w:rsidP="00EC4D3A">
      <w:pPr>
        <w:ind w:leftChars="100" w:left="420" w:hangingChars="100" w:hanging="210"/>
      </w:pPr>
    </w:p>
    <w:p w14:paraId="07FAD99E" w14:textId="77777777" w:rsidR="00EC4D3A" w:rsidRDefault="00EC4D3A" w:rsidP="00EC4D3A">
      <w:pPr>
        <w:ind w:leftChars="100" w:left="420" w:hangingChars="100" w:hanging="210"/>
      </w:pPr>
    </w:p>
    <w:p w14:paraId="3AA385FD" w14:textId="77777777" w:rsidR="00EC4D3A" w:rsidRDefault="00EC4D3A" w:rsidP="00EC4D3A">
      <w:pPr>
        <w:ind w:leftChars="100" w:left="420" w:hangingChars="100" w:hanging="210"/>
      </w:pPr>
    </w:p>
    <w:p w14:paraId="062451C5" w14:textId="77777777" w:rsidR="00EC4D3A" w:rsidRDefault="00EC4D3A" w:rsidP="00EC4D3A">
      <w:pPr>
        <w:ind w:leftChars="100" w:left="420" w:hangingChars="100" w:hanging="210"/>
      </w:pPr>
    </w:p>
    <w:p w14:paraId="4BC6EBE1" w14:textId="46510B7D" w:rsidR="00EC4D3A" w:rsidRPr="00EC4D3A" w:rsidRDefault="00EC4D3A" w:rsidP="00EC4D3A">
      <w:pPr>
        <w:ind w:leftChars="100" w:left="420" w:hangingChars="100" w:hanging="210"/>
        <w:rPr>
          <w:rFonts w:hint="eastAsia"/>
        </w:rPr>
      </w:pPr>
      <w:r w:rsidRPr="00EC4D3A">
        <w:lastRenderedPageBreak/>
        <w:drawing>
          <wp:anchor distT="0" distB="0" distL="114300" distR="114300" simplePos="0" relativeHeight="251658240" behindDoc="0" locked="0" layoutInCell="1" allowOverlap="1" wp14:anchorId="2E3297C6" wp14:editId="703C3134">
            <wp:simplePos x="0" y="0"/>
            <wp:positionH relativeFrom="column">
              <wp:posOffset>-895078</wp:posOffset>
            </wp:positionH>
            <wp:positionV relativeFrom="paragraph">
              <wp:posOffset>-1129846</wp:posOffset>
            </wp:positionV>
            <wp:extent cx="7347857" cy="8785631"/>
            <wp:effectExtent l="0" t="0" r="5715" b="0"/>
            <wp:wrapNone/>
            <wp:docPr id="1596594282"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94282" name="図 1" descr="ダイアグラム, 概略図&#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7396582" cy="8843890"/>
                    </a:xfrm>
                    <a:prstGeom prst="rect">
                      <a:avLst/>
                    </a:prstGeom>
                  </pic:spPr>
                </pic:pic>
              </a:graphicData>
            </a:graphic>
            <wp14:sizeRelH relativeFrom="margin">
              <wp14:pctWidth>0</wp14:pctWidth>
            </wp14:sizeRelH>
            <wp14:sizeRelV relativeFrom="margin">
              <wp14:pctHeight>0</wp14:pctHeight>
            </wp14:sizeRelV>
          </wp:anchor>
        </w:drawing>
      </w:r>
    </w:p>
    <w:sectPr w:rsidR="00EC4D3A" w:rsidRPr="00EC4D3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0F653" w14:textId="77777777" w:rsidR="00EC789A" w:rsidRDefault="00EC789A" w:rsidP="008452F0">
      <w:r>
        <w:separator/>
      </w:r>
    </w:p>
  </w:endnote>
  <w:endnote w:type="continuationSeparator" w:id="0">
    <w:p w14:paraId="6BF4A2AB" w14:textId="77777777" w:rsidR="00EC789A" w:rsidRDefault="00EC789A" w:rsidP="00845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8945B" w14:textId="77777777" w:rsidR="00EC789A" w:rsidRDefault="00EC789A" w:rsidP="008452F0">
      <w:r>
        <w:separator/>
      </w:r>
    </w:p>
  </w:footnote>
  <w:footnote w:type="continuationSeparator" w:id="0">
    <w:p w14:paraId="77862DF4" w14:textId="77777777" w:rsidR="00EC789A" w:rsidRDefault="00EC789A" w:rsidP="008452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132"/>
    <w:rsid w:val="001C36B1"/>
    <w:rsid w:val="001F60AE"/>
    <w:rsid w:val="00263E2F"/>
    <w:rsid w:val="002A06E1"/>
    <w:rsid w:val="002F0BB8"/>
    <w:rsid w:val="002F62CA"/>
    <w:rsid w:val="002F6C32"/>
    <w:rsid w:val="002F7EB3"/>
    <w:rsid w:val="00313044"/>
    <w:rsid w:val="00407C26"/>
    <w:rsid w:val="0046336D"/>
    <w:rsid w:val="005C1E63"/>
    <w:rsid w:val="005D07B0"/>
    <w:rsid w:val="00680C4C"/>
    <w:rsid w:val="00740254"/>
    <w:rsid w:val="007F5F35"/>
    <w:rsid w:val="00820A5F"/>
    <w:rsid w:val="008452F0"/>
    <w:rsid w:val="008646FA"/>
    <w:rsid w:val="008B5212"/>
    <w:rsid w:val="009330B8"/>
    <w:rsid w:val="00A44579"/>
    <w:rsid w:val="00A63AD3"/>
    <w:rsid w:val="00AE001D"/>
    <w:rsid w:val="00B1694F"/>
    <w:rsid w:val="00B171DB"/>
    <w:rsid w:val="00B452B0"/>
    <w:rsid w:val="00C15132"/>
    <w:rsid w:val="00CE4207"/>
    <w:rsid w:val="00CF2186"/>
    <w:rsid w:val="00D02979"/>
    <w:rsid w:val="00E012A9"/>
    <w:rsid w:val="00EC4D3A"/>
    <w:rsid w:val="00EC789A"/>
    <w:rsid w:val="00EE1B6D"/>
    <w:rsid w:val="00EF0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A984399"/>
  <w15:chartTrackingRefBased/>
  <w15:docId w15:val="{A53DF154-3C98-4894-A49F-227B55597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1513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1513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1513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1513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1513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1513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1513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1513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1513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1513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1513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1513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1513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1513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1513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1513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1513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1513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151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151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51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151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5132"/>
    <w:pPr>
      <w:spacing w:before="160" w:after="160"/>
      <w:jc w:val="center"/>
    </w:pPr>
    <w:rPr>
      <w:i/>
      <w:iCs/>
      <w:color w:val="404040" w:themeColor="text1" w:themeTint="BF"/>
    </w:rPr>
  </w:style>
  <w:style w:type="character" w:customStyle="1" w:styleId="a8">
    <w:name w:val="引用文 (文字)"/>
    <w:basedOn w:val="a0"/>
    <w:link w:val="a7"/>
    <w:uiPriority w:val="29"/>
    <w:rsid w:val="00C15132"/>
    <w:rPr>
      <w:i/>
      <w:iCs/>
      <w:color w:val="404040" w:themeColor="text1" w:themeTint="BF"/>
    </w:rPr>
  </w:style>
  <w:style w:type="paragraph" w:styleId="a9">
    <w:name w:val="List Paragraph"/>
    <w:basedOn w:val="a"/>
    <w:uiPriority w:val="34"/>
    <w:qFormat/>
    <w:rsid w:val="00C15132"/>
    <w:pPr>
      <w:ind w:left="720"/>
      <w:contextualSpacing/>
    </w:pPr>
  </w:style>
  <w:style w:type="character" w:styleId="21">
    <w:name w:val="Intense Emphasis"/>
    <w:basedOn w:val="a0"/>
    <w:uiPriority w:val="21"/>
    <w:qFormat/>
    <w:rsid w:val="00C15132"/>
    <w:rPr>
      <w:i/>
      <w:iCs/>
      <w:color w:val="0F4761" w:themeColor="accent1" w:themeShade="BF"/>
    </w:rPr>
  </w:style>
  <w:style w:type="paragraph" w:styleId="22">
    <w:name w:val="Intense Quote"/>
    <w:basedOn w:val="a"/>
    <w:next w:val="a"/>
    <w:link w:val="23"/>
    <w:uiPriority w:val="30"/>
    <w:qFormat/>
    <w:rsid w:val="00C15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15132"/>
    <w:rPr>
      <w:i/>
      <w:iCs/>
      <w:color w:val="0F4761" w:themeColor="accent1" w:themeShade="BF"/>
    </w:rPr>
  </w:style>
  <w:style w:type="character" w:styleId="24">
    <w:name w:val="Intense Reference"/>
    <w:basedOn w:val="a0"/>
    <w:uiPriority w:val="32"/>
    <w:qFormat/>
    <w:rsid w:val="00C15132"/>
    <w:rPr>
      <w:b/>
      <w:bCs/>
      <w:smallCaps/>
      <w:color w:val="0F4761" w:themeColor="accent1" w:themeShade="BF"/>
      <w:spacing w:val="5"/>
    </w:rPr>
  </w:style>
  <w:style w:type="paragraph" w:styleId="aa">
    <w:name w:val="header"/>
    <w:basedOn w:val="a"/>
    <w:link w:val="ab"/>
    <w:uiPriority w:val="99"/>
    <w:unhideWhenUsed/>
    <w:rsid w:val="008452F0"/>
    <w:pPr>
      <w:tabs>
        <w:tab w:val="center" w:pos="4252"/>
        <w:tab w:val="right" w:pos="8504"/>
      </w:tabs>
      <w:snapToGrid w:val="0"/>
    </w:pPr>
  </w:style>
  <w:style w:type="character" w:customStyle="1" w:styleId="ab">
    <w:name w:val="ヘッダー (文字)"/>
    <w:basedOn w:val="a0"/>
    <w:link w:val="aa"/>
    <w:uiPriority w:val="99"/>
    <w:rsid w:val="008452F0"/>
  </w:style>
  <w:style w:type="paragraph" w:styleId="ac">
    <w:name w:val="footer"/>
    <w:basedOn w:val="a"/>
    <w:link w:val="ad"/>
    <w:uiPriority w:val="99"/>
    <w:unhideWhenUsed/>
    <w:rsid w:val="008452F0"/>
    <w:pPr>
      <w:tabs>
        <w:tab w:val="center" w:pos="4252"/>
        <w:tab w:val="right" w:pos="8504"/>
      </w:tabs>
      <w:snapToGrid w:val="0"/>
    </w:pPr>
  </w:style>
  <w:style w:type="character" w:customStyle="1" w:styleId="ad">
    <w:name w:val="フッター (文字)"/>
    <w:basedOn w:val="a0"/>
    <w:link w:val="ac"/>
    <w:uiPriority w:val="99"/>
    <w:rsid w:val="00845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230</Words>
  <Characters>1314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23</cp:revision>
  <cp:lastPrinted>2025-01-30T10:30:00Z</cp:lastPrinted>
  <dcterms:created xsi:type="dcterms:W3CDTF">2025-01-29T10:28:00Z</dcterms:created>
  <dcterms:modified xsi:type="dcterms:W3CDTF">2025-01-30T12:14:00Z</dcterms:modified>
</cp:coreProperties>
</file>