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 Review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Service: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Value - Utility (FFP) + Warranty (FFU)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Warranty -&gt; Availability, security, capacity, continuity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Outcomes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Risk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Why is ITIL successful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Vendor neutral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Non-prescriptive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Best practice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Service assets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Resources (capital, infrastructure, information, applications)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Capabilities (org, management, knowledge, process)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Types of services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Internal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External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Enabling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Enhancing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Service assets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Process characteristics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Measurability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Responsiveness to triggers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Outputs result to customer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Process control elements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Owner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(Reporting/measurements)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 owner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 manager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practitioner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owner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RACI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Responsible</w:t>
        <w:br w:type="textWrapping"/>
        <w:t xml:space="preserve">Accountable</w:t>
        <w:br w:type="textWrapping"/>
        <w:t xml:space="preserve">Consulted</w:t>
        <w:br w:type="textWrapping"/>
        <w:t xml:space="preserve">Informed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Service lifecycle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Strategy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Service portfolio management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Pipeline, catalogue, retired services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Business relationship management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PBAs - Patterns of business activities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Demand management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Financial management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Accounting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Budgeting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Charging (optional)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Capacity plans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Transition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Operation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CSI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Deming - Plan, do, check, act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Vision, baseline, target, do, check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Seven step - identify, define, gather, process, analyze, present, implement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Measurements - TPS - technical, process, service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CSFs underpinned by KPIs (2 - 5 each)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