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6A433" w14:textId="3B0E42C1" w:rsidR="00933B49" w:rsidRDefault="005F56C9" w:rsidP="005F56C9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節　カリブレーション</w:t>
      </w:r>
    </w:p>
    <w:p w14:paraId="2D23B730" w14:textId="2E587C4F" w:rsidR="005F56C9" w:rsidRDefault="008523D7" w:rsidP="005F56C9">
      <w:pPr>
        <w:ind w:firstLineChars="100" w:firstLine="210"/>
      </w:pPr>
      <w:r>
        <w:rPr>
          <w:rFonts w:hint="eastAsia"/>
        </w:rPr>
        <w:t>HJMモデルを実際に使用するために，以下の手順で行う．</w:t>
      </w:r>
    </w:p>
    <w:p w14:paraId="13A59BB9" w14:textId="5353C473" w:rsidR="008523D7" w:rsidRDefault="008523D7" w:rsidP="008523D7"/>
    <w:p w14:paraId="4FA44B1D" w14:textId="102F86BD" w:rsidR="008523D7" w:rsidRDefault="008523D7" w:rsidP="008523D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フォワードレートのボラティリティ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>
        <w:rPr>
          <w:rFonts w:hint="eastAsia"/>
        </w:rPr>
        <w:t>を決定する．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93"/>
      </w:tblGrid>
      <w:tr w:rsidR="008523D7" w14:paraId="0480D080" w14:textId="77777777" w:rsidTr="00834038">
        <w:trPr>
          <w:jc w:val="center"/>
        </w:trPr>
        <w:tc>
          <w:tcPr>
            <w:tcW w:w="7093" w:type="dxa"/>
          </w:tcPr>
          <w:p w14:paraId="046F908B" w14:textId="48B01311" w:rsidR="008523D7" w:rsidRPr="00834038" w:rsidRDefault="008523D7" w:rsidP="008523D7">
            <w:pPr>
              <w:pStyle w:val="a7"/>
              <w:ind w:leftChars="0" w:left="0"/>
              <w:rPr>
                <w:b/>
                <w:bCs/>
                <w:u w:val="single"/>
              </w:rPr>
            </w:pPr>
            <w:r w:rsidRPr="00834038">
              <w:rPr>
                <w:rFonts w:hint="eastAsia"/>
                <w:b/>
                <w:bCs/>
                <w:u w:val="single"/>
              </w:rPr>
              <w:t>H</w:t>
            </w:r>
            <w:r w:rsidRPr="00834038">
              <w:rPr>
                <w:b/>
                <w:bCs/>
                <w:u w:val="single"/>
              </w:rPr>
              <w:t>JM</w:t>
            </w:r>
            <w:r w:rsidRPr="00834038">
              <w:rPr>
                <w:rFonts w:hint="eastAsia"/>
                <w:b/>
                <w:bCs/>
                <w:u w:val="single"/>
              </w:rPr>
              <w:t>モデル</w:t>
            </w:r>
          </w:p>
          <w:p w14:paraId="40E3F6D3" w14:textId="5EB69E21" w:rsidR="008523D7" w:rsidRPr="008523D7" w:rsidRDefault="008523D7" w:rsidP="008523D7">
            <w:pPr>
              <w:pStyle w:val="a7"/>
              <w:ind w:leftChars="0" w:left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r>
                  <w:rPr>
                    <w:rFonts w:ascii="Cambria Math" w:hAnsi="Cambria Math"/>
                  </w:rPr>
                  <m:t>dt+σ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r>
                  <w:rPr>
                    <w:rFonts w:ascii="Cambria Math" w:hAnsi="Cambria Math"/>
                  </w:rPr>
                  <m:t>dW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σ(t,u)du</m:t>
                    </m:r>
                  </m:e>
                </m:nary>
              </m:oMath>
            </m:oMathPara>
          </w:p>
        </w:tc>
      </w:tr>
    </w:tbl>
    <w:p w14:paraId="62E2A0E9" w14:textId="73A4DC3C" w:rsidR="0024153E" w:rsidRDefault="0072778E" w:rsidP="0024153E">
      <w:pPr>
        <w:pStyle w:val="a7"/>
        <w:numPr>
          <w:ilvl w:val="0"/>
          <w:numId w:val="3"/>
        </w:numPr>
        <w:ind w:leftChars="0" w:left="851"/>
      </w:pPr>
      <w:commentRangeStart w:id="0"/>
      <w:r>
        <w:rPr>
          <w:rFonts w:hint="eastAsia"/>
        </w:rPr>
        <w:t>H</w:t>
      </w:r>
      <w:r>
        <w:t>ull-White forward-rate</w:t>
      </w:r>
      <w:r>
        <w:rPr>
          <w:rFonts w:hint="eastAsia"/>
        </w:rPr>
        <w:t xml:space="preserve"> </w:t>
      </w:r>
      <w:r>
        <w:t>volatility</w:t>
      </w:r>
      <w:r w:rsidR="00B8400C">
        <w:rPr>
          <w:rFonts w:hint="eastAsia"/>
        </w:rPr>
        <w:t>（E</w:t>
      </w:r>
      <w:r w:rsidR="00B8400C">
        <w:t>xample4.3</w:t>
      </w:r>
      <w:r w:rsidR="00B8400C">
        <w:rPr>
          <w:rFonts w:hint="eastAsia"/>
        </w:rPr>
        <w:t>）</w:t>
      </w:r>
      <w:r>
        <w:rPr>
          <w:rFonts w:hint="eastAsia"/>
        </w:rPr>
        <w:t>等</w:t>
      </w:r>
      <w:commentRangeEnd w:id="0"/>
      <w:r w:rsidR="00B8400C">
        <w:rPr>
          <w:rStyle w:val="aa"/>
        </w:rPr>
        <w:commentReference w:id="0"/>
      </w:r>
      <w:r>
        <w:rPr>
          <w:rFonts w:hint="eastAsia"/>
        </w:rPr>
        <w:t>の</w:t>
      </w:r>
      <w:commentRangeStart w:id="1"/>
      <w:r>
        <w:rPr>
          <w:rFonts w:hint="eastAsia"/>
        </w:rPr>
        <w:t>残存期間の減少関数</w:t>
      </w:r>
      <w:commentRangeEnd w:id="1"/>
      <w:r w:rsidR="0024153E">
        <w:rPr>
          <w:rStyle w:val="aa"/>
        </w:rPr>
        <w:commentReference w:id="1"/>
      </w:r>
      <w:r>
        <w:rPr>
          <w:rFonts w:hint="eastAsia"/>
        </w:rPr>
        <w:t>にする</w:t>
      </w:r>
      <w:r w:rsidR="0024153E">
        <w:rPr>
          <w:rFonts w:hint="eastAsia"/>
        </w:rPr>
        <w:t>にすることが多い．</w:t>
      </w:r>
    </w:p>
    <w:p w14:paraId="3990A986" w14:textId="039005F4" w:rsidR="00B8400C" w:rsidRPr="00B8400C" w:rsidRDefault="00B8400C" w:rsidP="00B8400C">
      <w:pPr>
        <w:pStyle w:val="a7"/>
        <w:ind w:leftChars="0" w:left="851"/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</m:oMath>
      </m:oMathPara>
    </w:p>
    <w:p w14:paraId="766B6304" w14:textId="77777777" w:rsidR="00B8400C" w:rsidRDefault="00B8400C" w:rsidP="00B8400C"/>
    <w:p w14:paraId="047BB7C8" w14:textId="5373C327" w:rsidR="00B8400C" w:rsidRDefault="00B8400C" w:rsidP="00B8400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フォワードレート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>
        <w:rPr>
          <w:rFonts w:hint="eastAsia"/>
        </w:rPr>
        <w:t>を以下の式(4</w:t>
      </w:r>
      <w:r>
        <w:t>.5)</w:t>
      </w:r>
      <w:r>
        <w:rPr>
          <w:rFonts w:hint="eastAsia"/>
        </w:rPr>
        <w:t>より算出</w:t>
      </w:r>
    </w:p>
    <w:p w14:paraId="7C397B6B" w14:textId="338A0F7F" w:rsidR="00B8400C" w:rsidRPr="00B8400C" w:rsidRDefault="00B8400C" w:rsidP="00B8400C">
      <w:pPr>
        <w:pStyle w:val="a7"/>
        <w:ind w:leftChars="0" w:left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mkt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</m:oMath>
      </m:oMathPara>
    </w:p>
    <w:p w14:paraId="528139B3" w14:textId="1C0F7714" w:rsidR="00B8400C" w:rsidRDefault="00EA71AF" w:rsidP="00B8400C">
      <w:pPr>
        <w:pStyle w:val="a7"/>
        <w:numPr>
          <w:ilvl w:val="0"/>
          <w:numId w:val="3"/>
        </w:numPr>
        <w:ind w:leftChars="0" w:left="851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mkt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 w:rsidR="00096738">
        <w:rPr>
          <w:rFonts w:hint="eastAsia"/>
        </w:rPr>
        <w:t>は市場から取得できるフォワードレートの初期値</w:t>
      </w:r>
    </w:p>
    <w:p w14:paraId="1857FB62" w14:textId="1A304E1F" w:rsidR="00096738" w:rsidRDefault="00096738" w:rsidP="00096738"/>
    <w:p w14:paraId="4A31A84B" w14:textId="5C318F89" w:rsidR="00096738" w:rsidRDefault="00096738" w:rsidP="00096738">
      <w:pPr>
        <w:pStyle w:val="a7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>
        <w:rPr>
          <w:rFonts w:hint="eastAsia"/>
        </w:rPr>
        <w:t>に含まれるパラメータはキャップやスワプションの価格とHJMモデルでの理論価格が一致するように設定する．</w:t>
      </w:r>
    </w:p>
    <w:p w14:paraId="745C61DE" w14:textId="5BDC147F" w:rsidR="00096738" w:rsidRDefault="00096738" w:rsidP="00096738"/>
    <w:p w14:paraId="250B3D0E" w14:textId="64E71DBC" w:rsidR="00096738" w:rsidRDefault="00506E88" w:rsidP="00506E88">
      <w:pPr>
        <w:pStyle w:val="2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 xml:space="preserve">節　</w:t>
      </w:r>
      <w:r>
        <w:t>Multi-factor HJM</w:t>
      </w:r>
      <w:r>
        <w:rPr>
          <w:rFonts w:hint="eastAsia"/>
        </w:rPr>
        <w:t>モデル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32D73" w:rsidRPr="00632D73" w14:paraId="540FD9AB" w14:textId="77777777" w:rsidTr="00632D73">
        <w:tc>
          <w:tcPr>
            <w:tcW w:w="10762" w:type="dxa"/>
          </w:tcPr>
          <w:p w14:paraId="104D1F99" w14:textId="77777777" w:rsidR="00632D73" w:rsidRDefault="00632D73" w:rsidP="00506E88">
            <w:pPr>
              <w:rPr>
                <w:b/>
                <w:bCs/>
                <w:u w:val="single"/>
              </w:rPr>
            </w:pPr>
            <w:r w:rsidRPr="00632D73">
              <w:rPr>
                <w:rFonts w:hint="eastAsia"/>
                <w:b/>
                <w:bCs/>
                <w:u w:val="single"/>
              </w:rPr>
              <w:t>M</w:t>
            </w:r>
            <w:r w:rsidRPr="00632D73">
              <w:rPr>
                <w:b/>
                <w:bCs/>
                <w:u w:val="single"/>
              </w:rPr>
              <w:t>ulti-factor HJM</w:t>
            </w:r>
            <w:r w:rsidRPr="00632D73">
              <w:rPr>
                <w:rFonts w:hint="eastAsia"/>
                <w:b/>
                <w:bCs/>
                <w:u w:val="single"/>
              </w:rPr>
              <w:t>モデル</w:t>
            </w:r>
          </w:p>
          <w:p w14:paraId="6CDC21F6" w14:textId="0F43737B" w:rsidR="00632D73" w:rsidRPr="00632D73" w:rsidRDefault="00632D73" w:rsidP="00506E88">
            <m:oMathPara>
              <m:oMath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r>
                  <w:rPr>
                    <w:rFonts w:ascii="Cambria Math" w:hAnsi="Cambria Math"/>
                  </w:rPr>
                  <m:t>dt+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br/>
                </m:r>
              </m:oMath>
            </m:oMathPara>
            <m:oMath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e>
              </m:d>
            </m:oMath>
            <w:r>
              <w:tab/>
            </w:r>
            <w:r>
              <w:rPr>
                <w:rFonts w:hint="eastAsia"/>
              </w:rPr>
              <w:t>: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>
              <w:rPr>
                <w:rFonts w:hint="eastAsia"/>
              </w:rPr>
              <w:t>次元ボラティリティ</w:t>
            </w:r>
            <w:r>
              <w:br/>
            </w:r>
            <w:commentRangeStart w:id="2"/>
            <m:oMath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w:commentRangeEnd w:id="2"/>
              <m:r>
                <m:rPr>
                  <m:sty m:val="p"/>
                </m:rPr>
                <w:rPr>
                  <w:rStyle w:val="aa"/>
                </w:rPr>
                <w:commentReference w:id="2"/>
              </m:r>
            </m:oMath>
            <w:r>
              <w:tab/>
            </w:r>
            <w:r>
              <w:tab/>
            </w:r>
            <w:r>
              <w:rPr>
                <w:rFonts w:hint="eastAsia"/>
              </w:rPr>
              <w:t>:リスク中立測度下における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>
              <w:rPr>
                <w:rFonts w:hint="eastAsia"/>
              </w:rPr>
              <w:t>次元ブラウン運動</w:t>
            </w:r>
          </w:p>
        </w:tc>
      </w:tr>
    </w:tbl>
    <w:p w14:paraId="116CA6AB" w14:textId="4564F515" w:rsidR="00506E88" w:rsidRDefault="00506E88" w:rsidP="00506E88"/>
    <w:p w14:paraId="2D5468EF" w14:textId="49B1D087" w:rsidR="008241C8" w:rsidRDefault="008241C8" w:rsidP="00506E8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定理4</w:t>
      </w:r>
      <w:r>
        <w:t>.6</w:t>
      </w:r>
    </w:p>
    <w:p w14:paraId="4599A1F6" w14:textId="545F98D5" w:rsidR="008241C8" w:rsidRDefault="008241C8" w:rsidP="008241C8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仮定</w:t>
      </w:r>
    </w:p>
    <w:p w14:paraId="41D807EF" w14:textId="356C01E6" w:rsidR="008241C8" w:rsidRDefault="008241C8" w:rsidP="008241C8">
      <w:pPr>
        <w:pStyle w:val="a7"/>
        <w:numPr>
          <w:ilvl w:val="0"/>
          <w:numId w:val="5"/>
        </w:numPr>
        <w:ind w:leftChars="0" w:left="1418"/>
      </w:pPr>
      <w:r>
        <w:rPr>
          <w:rFonts w:hint="eastAsia"/>
        </w:rPr>
        <w:t>フォワードレート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>
        <w:rPr>
          <w:rFonts w:hint="eastAsia"/>
        </w:rPr>
        <w:t>が上式に従う．</w:t>
      </w:r>
    </w:p>
    <w:p w14:paraId="32101143" w14:textId="602CB13A" w:rsidR="00522C2A" w:rsidRDefault="00EA71AF" w:rsidP="00522C2A">
      <w:pPr>
        <w:pStyle w:val="a7"/>
        <w:numPr>
          <w:ilvl w:val="0"/>
          <w:numId w:val="5"/>
        </w:numPr>
        <w:ind w:leftChars="0" w:left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 w:rsidR="00522C2A">
        <w:rPr>
          <w:rFonts w:hint="eastAsia"/>
        </w:rPr>
        <w:t>が任意の</w:t>
      </w:r>
      <m:oMath>
        <m:r>
          <w:rPr>
            <w:rFonts w:ascii="Cambria Math" w:hAnsi="Cambria Math" w:hint="eastAsia"/>
          </w:rPr>
          <m:t>T</m:t>
        </m:r>
      </m:oMath>
      <w:r w:rsidR="00522C2A">
        <w:rPr>
          <w:rFonts w:hint="eastAsia"/>
        </w:rPr>
        <w:t>について適合過程</w:t>
      </w:r>
    </w:p>
    <w:p w14:paraId="2D97DD28" w14:textId="6AE37943" w:rsidR="00522C2A" w:rsidRDefault="00522C2A" w:rsidP="00522C2A">
      <w:pPr>
        <w:pStyle w:val="a7"/>
        <w:numPr>
          <w:ilvl w:val="0"/>
          <w:numId w:val="5"/>
        </w:numPr>
        <w:ind w:leftChars="0" w:left="1418"/>
      </w:pPr>
      <w:r>
        <w:rPr>
          <w:rFonts w:hint="eastAsia"/>
        </w:rPr>
        <w:t>以下の不等式が成立</w:t>
      </w:r>
    </w:p>
    <w:p w14:paraId="33AFFFD8" w14:textId="7BB7B34D" w:rsidR="00522C2A" w:rsidRDefault="00EA71AF" w:rsidP="00522C2A">
      <w:pPr>
        <w:pStyle w:val="a7"/>
        <w:ind w:leftChars="0" w:left="1418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s,u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dsdu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&lt;∞,           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s,u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&lt;∞            a.s.</m:t>
          </m:r>
        </m:oMath>
      </m:oMathPara>
    </w:p>
    <w:p w14:paraId="601DED82" w14:textId="5466DDD5" w:rsidR="008241C8" w:rsidRDefault="008241C8" w:rsidP="008241C8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結論</w:t>
      </w:r>
    </w:p>
    <w:p w14:paraId="09591F3B" w14:textId="63EF7CAE" w:rsidR="00522C2A" w:rsidRPr="00522C2A" w:rsidRDefault="00522C2A" w:rsidP="00522C2A">
      <w:pPr>
        <w:pStyle w:val="a7"/>
        <w:numPr>
          <w:ilvl w:val="0"/>
          <w:numId w:val="6"/>
        </w:numPr>
        <w:ind w:leftChars="0" w:left="1418"/>
      </w:pP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の関係式</w:t>
      </w:r>
      <w:r>
        <w:br/>
      </w: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e>
          </m:nary>
        </m:oMath>
      </m:oMathPara>
    </w:p>
    <w:p w14:paraId="5EA53FDE" w14:textId="7D208C5C" w:rsidR="006551D5" w:rsidRPr="006551D5" w:rsidRDefault="00522C2A" w:rsidP="006551D5">
      <w:pPr>
        <w:pStyle w:val="a7"/>
        <w:numPr>
          <w:ilvl w:val="0"/>
          <w:numId w:val="6"/>
        </w:numPr>
        <w:ind w:leftChars="0" w:left="1418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>
        <w:rPr>
          <w:rFonts w:hint="eastAsia"/>
        </w:rPr>
        <w:t>の表式</w:t>
      </w:r>
      <w:r w:rsidR="006551D5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ds+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nary>
            </m:e>
          </m:nary>
        </m:oMath>
      </m:oMathPara>
    </w:p>
    <w:p w14:paraId="3BA6B00B" w14:textId="5DE831C8" w:rsidR="006551D5" w:rsidRDefault="006551D5" w:rsidP="006551D5">
      <w:pPr>
        <w:pStyle w:val="a7"/>
        <w:numPr>
          <w:ilvl w:val="0"/>
          <w:numId w:val="6"/>
        </w:numPr>
        <w:ind w:leftChars="0" w:left="1418"/>
      </w:pPr>
      <w:r>
        <w:rPr>
          <w:rFonts w:hint="eastAsia"/>
        </w:rPr>
        <w:t>割引債の価格が満たすSDE</w:t>
      </w:r>
    </w:p>
    <w:p w14:paraId="2FCA9F1F" w14:textId="4BADEB49" w:rsidR="000D159F" w:rsidRDefault="000D159F" w:rsidP="000D159F">
      <w:pPr>
        <w:pStyle w:val="a7"/>
        <w:ind w:leftChars="0" w:left="1418" w:firstLineChars="100" w:firstLine="210"/>
      </w:pPr>
      <w:r>
        <w:rPr>
          <w:rFonts w:hint="eastAsia"/>
        </w:rPr>
        <w:t>各</w:t>
      </w:r>
      <m:oMath>
        <m:r>
          <w:rPr>
            <w:rFonts w:ascii="Cambria Math" w:hAnsi="Cambria Math"/>
          </w:rPr>
          <m:t>i=1,…,n</m:t>
        </m:r>
      </m:oMath>
      <w:r>
        <w:rPr>
          <w:rFonts w:hint="eastAsia"/>
        </w:rPr>
        <w:t>に対して</w:t>
      </w:r>
    </w:p>
    <w:p w14:paraId="693747CD" w14:textId="0DB117BC" w:rsidR="006551D5" w:rsidRPr="006551D5" w:rsidRDefault="006551D5" w:rsidP="006551D5">
      <w:pPr>
        <w:pStyle w:val="a7"/>
        <w:ind w:leftChars="0" w:left="1418"/>
      </w:pPr>
      <m:oMathPara>
        <m:oMath>
          <m:r>
            <w:rPr>
              <w:rFonts w:ascii="Cambria Math" w:hAnsi="Cambria Math"/>
            </w:rPr>
            <w:lastRenderedPageBreak/>
            <m:t>dB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dt+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(t,u)du</m:t>
              </m:r>
            </m:e>
          </m:nary>
        </m:oMath>
      </m:oMathPara>
    </w:p>
    <w:p w14:paraId="1C04C21F" w14:textId="40B306B0" w:rsidR="00522C2A" w:rsidRDefault="000D159F" w:rsidP="000D159F">
      <w:pPr>
        <w:pStyle w:val="3"/>
        <w:ind w:left="840"/>
      </w:pPr>
      <w:r>
        <w:rPr>
          <w:rFonts w:hint="eastAsia"/>
        </w:rPr>
        <w:t>Two-</w:t>
      </w:r>
      <w:r>
        <w:t>factor Gaussian model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961BE" w14:paraId="4CD2855A" w14:textId="77777777" w:rsidTr="009961BE">
        <w:tc>
          <w:tcPr>
            <w:tcW w:w="10762" w:type="dxa"/>
          </w:tcPr>
          <w:p w14:paraId="3C516E6D" w14:textId="77777777" w:rsidR="009961BE" w:rsidRPr="009961BE" w:rsidRDefault="009961BE" w:rsidP="009961BE">
            <w:pPr>
              <w:rPr>
                <w:b/>
                <w:bCs/>
                <w:u w:val="single"/>
              </w:rPr>
            </w:pPr>
            <w:r w:rsidRPr="009961BE">
              <w:rPr>
                <w:rFonts w:hint="eastAsia"/>
                <w:b/>
                <w:bCs/>
                <w:u w:val="single"/>
              </w:rPr>
              <w:t>Two-</w:t>
            </w:r>
            <w:r w:rsidRPr="009961BE">
              <w:rPr>
                <w:b/>
                <w:bCs/>
                <w:u w:val="single"/>
              </w:rPr>
              <w:t>factor</w:t>
            </w:r>
            <w:r w:rsidRPr="009961BE">
              <w:rPr>
                <w:rFonts w:hint="eastAsia"/>
                <w:b/>
                <w:bCs/>
                <w:u w:val="single"/>
              </w:rPr>
              <w:t xml:space="preserve"> </w:t>
            </w:r>
            <w:r w:rsidRPr="009961BE">
              <w:rPr>
                <w:b/>
                <w:bCs/>
                <w:u w:val="single"/>
              </w:rPr>
              <w:t>HJM</w:t>
            </w:r>
            <w:r w:rsidRPr="009961BE">
              <w:rPr>
                <w:rFonts w:hint="eastAsia"/>
                <w:b/>
                <w:bCs/>
                <w:u w:val="single"/>
              </w:rPr>
              <w:t>モデル</w:t>
            </w:r>
          </w:p>
          <w:p w14:paraId="2583D015" w14:textId="72E007BF" w:rsidR="009961BE" w:rsidRPr="009961BE" w:rsidRDefault="009961BE" w:rsidP="009961BE">
            <m:oMathPara>
              <m:oMath>
                <m:r>
                  <w:rPr>
                    <w:rFonts w:ascii="Cambria Math" w:hAnsi="Cambria Math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t,T</m:t>
                            </m:r>
                          </m:e>
                        </m:d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t,u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</m:oMath>
            </m:oMathPara>
          </w:p>
        </w:tc>
      </w:tr>
    </w:tbl>
    <w:p w14:paraId="2F1466E1" w14:textId="4D89A079" w:rsidR="000D159F" w:rsidRDefault="0024153E" w:rsidP="009961BE">
      <w:pPr>
        <w:ind w:firstLineChars="100" w:firstLine="210"/>
      </w:pPr>
      <w:r>
        <w:rPr>
          <w:rFonts w:hint="eastAsia"/>
        </w:rPr>
        <w:t>ボラティリティとしてよく使われるのは以下の表式である．</w:t>
      </w:r>
    </w:p>
    <w:commentRangeStart w:id="3"/>
    <w:p w14:paraId="33DE143B" w14:textId="47BAFE4B" w:rsidR="0024153E" w:rsidRPr="0024153E" w:rsidRDefault="00EA71AF" w:rsidP="009961BE">
      <w:pPr>
        <w:ind w:firstLineChars="100" w:firstLine="2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w:commentRangeEnd w:id="3"/>
          <m:r>
            <m:rPr>
              <m:sty m:val="p"/>
            </m:rPr>
            <w:rPr>
              <w:rStyle w:val="aa"/>
            </w:rPr>
            <w:commentReference w:id="3"/>
          </m:r>
        </m:oMath>
      </m:oMathPara>
    </w:p>
    <w:p w14:paraId="6BBA4C13" w14:textId="22B9BFB9" w:rsidR="0024153E" w:rsidRDefault="0024153E" w:rsidP="009961BE">
      <w:pPr>
        <w:ind w:firstLineChars="100" w:firstLine="210"/>
      </w:pPr>
      <w:r>
        <w:rPr>
          <w:rFonts w:hint="eastAsia"/>
        </w:rPr>
        <w:t>以下では</w:t>
      </w:r>
      <w:r w:rsidR="004E4BF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4E4BF8">
        <w:rPr>
          <w:rFonts w:hint="eastAsia"/>
        </w:rPr>
        <w:t>を適切に設定することで</w:t>
      </w:r>
      <w:r w:rsidR="004E4BF8">
        <w:t>Two-factor</w:t>
      </w:r>
      <w:r w:rsidR="004E4BF8">
        <w:rPr>
          <w:rFonts w:hint="eastAsia"/>
        </w:rPr>
        <w:t xml:space="preserve"> </w:t>
      </w:r>
      <w:r w:rsidR="004E4BF8">
        <w:t>Hull-White</w:t>
      </w:r>
      <w:r w:rsidR="004E4BF8">
        <w:rPr>
          <w:rFonts w:hint="eastAsia"/>
        </w:rPr>
        <w:t>モデルが導けることを確認する．</w:t>
      </w:r>
    </w:p>
    <w:p w14:paraId="4AFCDD9E" w14:textId="61CEE631" w:rsidR="004E4BF8" w:rsidRDefault="004E4BF8" w:rsidP="009961BE">
      <w:pPr>
        <w:ind w:firstLineChars="100" w:firstLine="210"/>
      </w:pPr>
    </w:p>
    <w:p w14:paraId="57086685" w14:textId="25BCFB01" w:rsidR="004E4BF8" w:rsidRDefault="00213E38" w:rsidP="00E57902">
      <w:r>
        <w:rPr>
          <w:rFonts w:hint="eastAsia"/>
        </w:rPr>
        <w:t>相関のあるブラウン運動</w:t>
      </w:r>
      <w:r w:rsidR="00E57902">
        <w:rPr>
          <w:rFonts w:hint="eastAsia"/>
        </w:rPr>
        <w:t>を以下のように定義する．</w:t>
      </w:r>
    </w:p>
    <w:p w14:paraId="44F95D2D" w14:textId="7BA31C4D" w:rsidR="00213E38" w:rsidRPr="00213E38" w:rsidRDefault="00213E38" w:rsidP="00213E38">
      <w:pPr>
        <w:pStyle w:val="a7"/>
        <w:ind w:leftChars="0" w:left="993"/>
        <w:rPr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commentRangeStart w:id="4"/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commentRangeEnd w:id="4"/>
          <m:r>
            <m:rPr>
              <m:sty m:val="p"/>
            </m:rPr>
            <w:rPr>
              <w:rStyle w:val="aa"/>
            </w:rPr>
            <w:commentReference w:id="4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B81A05F" w14:textId="3CEF024B" w:rsidR="00213E38" w:rsidRDefault="00E57902" w:rsidP="00E57902">
      <w:pPr>
        <w:rPr>
          <w:iCs/>
        </w:rPr>
      </w:pPr>
      <w:r>
        <w:rPr>
          <w:rFonts w:hint="eastAsia"/>
          <w:iCs/>
        </w:rPr>
        <w:t>式(</w:t>
      </w:r>
      <w:r>
        <w:rPr>
          <w:iCs/>
        </w:rPr>
        <w:t>3.35)(3.36)</w:t>
      </w:r>
      <w:r>
        <w:rPr>
          <w:rFonts w:hint="eastAsia"/>
          <w:iCs/>
        </w:rPr>
        <w:t>より</w:t>
      </w:r>
    </w:p>
    <w:p w14:paraId="3837BAC2" w14:textId="2F89E965" w:rsidR="00E57902" w:rsidRPr="00E57902" w:rsidRDefault="00E57902" w:rsidP="00E57902">
      <w:pPr>
        <w:rPr>
          <w:iCs/>
        </w:rPr>
      </w:pPr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=-αx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-βy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dt+ηd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8CB916B" w14:textId="16AC8E38" w:rsidR="00E57902" w:rsidRDefault="00E57902" w:rsidP="00E57902">
      <w:pPr>
        <w:rPr>
          <w:iCs/>
        </w:rPr>
      </w:pPr>
      <w:r>
        <w:rPr>
          <w:rFonts w:hint="eastAsia"/>
          <w:iCs/>
        </w:rPr>
        <w:t>となる．式(</w:t>
      </w:r>
      <w:r>
        <w:rPr>
          <w:iCs/>
        </w:rPr>
        <w:t>3.42)</w:t>
      </w:r>
      <w:r>
        <w:rPr>
          <w:rFonts w:hint="eastAsia"/>
          <w:iCs/>
        </w:rPr>
        <w:t>より</w:t>
      </w:r>
      <w:r w:rsidR="006B51D1">
        <w:rPr>
          <w:rFonts w:hint="eastAsia"/>
          <w:iCs/>
        </w:rPr>
        <w:t>割引債価格は以下のように書ける．</w:t>
      </w:r>
    </w:p>
    <w:p w14:paraId="0C53A38C" w14:textId="66BE993D" w:rsidR="00E57902" w:rsidRPr="006B51D1" w:rsidRDefault="006B51D1" w:rsidP="00E57902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13A01802" w14:textId="53CD1440" w:rsidR="006B51D1" w:rsidRDefault="006B51D1" w:rsidP="00E57902">
      <w:pPr>
        <w:rPr>
          <w:iCs/>
        </w:rPr>
      </w:pPr>
      <w:r>
        <w:rPr>
          <w:rFonts w:hint="eastAsia"/>
          <w:iCs/>
        </w:rPr>
        <w:t>一方，T</w:t>
      </w:r>
      <w:r>
        <w:rPr>
          <w:iCs/>
        </w:rPr>
        <w:t>wo-factor</w:t>
      </w:r>
      <w:r>
        <w:rPr>
          <w:rFonts w:hint="eastAsia"/>
          <w:iCs/>
        </w:rPr>
        <w:t xml:space="preserve"> HJMモデルでは債券価格のSDEは</w:t>
      </w:r>
    </w:p>
    <w:p w14:paraId="7D8EB41D" w14:textId="04B58418" w:rsidR="006B51D1" w:rsidRPr="006B51D1" w:rsidRDefault="006B51D1" w:rsidP="00E57902">
      <m:oMathPara>
        <m:oMath>
          <m:r>
            <w:rPr>
              <w:rFonts w:ascii="Cambria Math" w:hAnsi="Cambria Math"/>
            </w:rPr>
            <m:t>dB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dt+B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4AAF8C8A" w14:textId="1208CC60" w:rsidR="009E2D58" w:rsidRDefault="006B51D1" w:rsidP="00E57902">
      <w:r>
        <w:rPr>
          <w:rFonts w:hint="eastAsia"/>
        </w:rPr>
        <w:t>となるので</w:t>
      </w:r>
      <w:r w:rsidR="009E2D58">
        <w:rPr>
          <w:rFonts w:hint="eastAsia"/>
        </w:rPr>
        <w:t>，両式を比較すると，</w:t>
      </w:r>
    </w:p>
    <w:p w14:paraId="76953F3C" w14:textId="77704532" w:rsidR="009E2D58" w:rsidRPr="009E2D58" w:rsidRDefault="00EA71AF" w:rsidP="00E579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0D4CD4F0" w14:textId="4C21AF53" w:rsidR="009E2D58" w:rsidRPr="009E2D58" w:rsidRDefault="00EA71AF" w:rsidP="009E2D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=-σρ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14:paraId="01EF0497" w14:textId="74A272D1" w:rsidR="009E2D58" w:rsidRDefault="009E2D58" w:rsidP="009E2D58">
      <w:r>
        <w:rPr>
          <w:rFonts w:hint="eastAsia"/>
        </w:rPr>
        <w:t>なので，</w:t>
      </w:r>
    </w:p>
    <w:p w14:paraId="171BA953" w14:textId="7F4AA87B" w:rsidR="009E2D58" w:rsidRPr="009E2D58" w:rsidRDefault="00EA71AF" w:rsidP="009E2D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=σρ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+η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</m:oMath>
      </m:oMathPara>
    </w:p>
    <w:p w14:paraId="291B8F98" w14:textId="750C8BCB" w:rsidR="009E2D58" w:rsidRDefault="00AC7086" w:rsidP="00E57902">
      <w:r>
        <w:rPr>
          <w:rFonts w:hint="eastAsia"/>
        </w:rPr>
        <w:t>となる．したがって，</w:t>
      </w:r>
    </w:p>
    <w:p w14:paraId="7D5BDB5C" w14:textId="7F49FF9B" w:rsidR="00AC7086" w:rsidRPr="00AC7086" w:rsidRDefault="00EA71AF" w:rsidP="00E579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=σρ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=η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=β</m:t>
          </m:r>
        </m:oMath>
      </m:oMathPara>
    </w:p>
    <w:p w14:paraId="187B1F79" w14:textId="4F73C976" w:rsidR="00AC7086" w:rsidRDefault="006D559F" w:rsidP="006D559F">
      <w:pPr>
        <w:pStyle w:val="2"/>
      </w:pPr>
      <w:r>
        <w:softHyphen/>
      </w:r>
      <w:r>
        <w:softHyphen/>
      </w:r>
      <w:r>
        <w:softHyphen/>
      </w:r>
      <w:r>
        <w:softHyphen/>
      </w:r>
      <w:r w:rsidR="00EA71AF">
        <w:rPr>
          <w:rFonts w:hint="eastAsia"/>
        </w:rPr>
        <w:t>フォワード測度下でのフォワードレート</w:t>
      </w:r>
    </w:p>
    <w:p w14:paraId="28049F3E" w14:textId="5CCB471D" w:rsidR="00EA71AF" w:rsidRDefault="00F12B77" w:rsidP="00F12B77">
      <w:pPr>
        <w:ind w:firstLineChars="100" w:firstLine="210"/>
      </w:pPr>
      <w:r>
        <w:rPr>
          <w:rFonts w:hint="eastAsia"/>
        </w:rPr>
        <w:t>この節ではフォワード測度の下でのフォワードレートを導出する．</w:t>
      </w:r>
    </w:p>
    <w:p w14:paraId="7D73FDF8" w14:textId="46AC2F60" w:rsidR="00F12B77" w:rsidRDefault="00F12B77" w:rsidP="00F12B77">
      <w:pPr>
        <w:ind w:firstLineChars="100" w:firstLine="210"/>
      </w:pPr>
      <w:r>
        <w:rPr>
          <w:rFonts w:hint="eastAsia"/>
        </w:rPr>
        <w:t>フォワード測度を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</m:oMath>
      <w:r>
        <w:rPr>
          <w:rFonts w:hint="eastAsia"/>
        </w:rPr>
        <w:t>とすると，</w:t>
      </w:r>
    </w:p>
    <w:p w14:paraId="56A2575B" w14:textId="504F5175" w:rsidR="00F12B77" w:rsidRPr="00F12B77" w:rsidRDefault="00F12B77" w:rsidP="00F12B77">
      <w:pPr>
        <w:ind w:firstLineChars="100" w:firstLine="21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0,U</m:t>
                  </m:r>
                </m:e>
              </m:d>
            </m:den>
          </m:f>
        </m:oMath>
      </m:oMathPara>
    </w:p>
    <w:p w14:paraId="0DF4CDEC" w14:textId="62CB1E77" w:rsidR="00F12B77" w:rsidRDefault="00F12B77" w:rsidP="00F12B77">
      <w:pPr>
        <w:ind w:firstLineChars="100" w:firstLine="210"/>
      </w:pPr>
      <w:r>
        <w:rPr>
          <w:rFonts w:hint="eastAsia"/>
        </w:rPr>
        <w:t>なので，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t,U</m:t>
            </m:r>
          </m:e>
        </m:d>
        <m:r>
          <w:rPr>
            <w:rFonts w:ascii="Cambria Math" w:hAnsi="Cambria Math"/>
          </w:rPr>
          <m:t>/B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がリスク中立測度の下でマルチンゲールであるため，d</w:t>
      </w:r>
      <w:r>
        <w:t>ensity process</w:t>
      </w:r>
      <w:r>
        <w:rPr>
          <w:rFonts w:hint="eastAsia"/>
        </w:rPr>
        <w:t>は</w:t>
      </w:r>
    </w:p>
    <w:p w14:paraId="1BC98B2F" w14:textId="6F195CC2" w:rsidR="00F12B77" w:rsidRPr="00F12B77" w:rsidRDefault="00F12B77" w:rsidP="00F12B77">
      <w:pPr>
        <w:ind w:firstLineChars="100" w:firstLine="210"/>
        <w:rPr>
          <w:i/>
        </w:rPr>
      </w:pPr>
      <m:oMathPara>
        <m:oMath>
          <m:r>
            <w:rPr>
              <w:rFonts w:ascii="Cambria Math" w:hAnsi="Cambria Math"/>
            </w:rPr>
            <m:t>ξ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0,U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0,U</m:t>
                  </m:r>
                </m:e>
              </m:d>
            </m:den>
          </m:f>
        </m:oMath>
      </m:oMathPara>
    </w:p>
    <w:p w14:paraId="3B087F34" w14:textId="14222545" w:rsidR="00F12B77" w:rsidRDefault="00F12B77" w:rsidP="00F12B77">
      <w:pPr>
        <w:ind w:firstLineChars="100" w:firstLine="210"/>
        <w:rPr>
          <w:iCs/>
        </w:rPr>
      </w:pPr>
      <w:r>
        <w:rPr>
          <w:rFonts w:hint="eastAsia"/>
          <w:iCs/>
        </w:rPr>
        <w:t>となる．債券価格のSDEを用いれば，</w:t>
      </w:r>
    </w:p>
    <w:p w14:paraId="7CFC8355" w14:textId="3704FBE7" w:rsidR="00F12B77" w:rsidRPr="00394FEE" w:rsidRDefault="00D3648B" w:rsidP="00394FEE">
      <w:pPr>
        <w:ind w:firstLineChars="100" w:firstLine="210"/>
        <w:jc w:val="center"/>
        <w:rPr>
          <w:iCs/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dξ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w:commentRangeStart w:id="5"/>
              <w:commentRangeEnd w:id="5"/>
              <m:r>
                <m:rPr>
                  <m:sty m:val="p"/>
                </m:rPr>
                <w:rPr>
                  <w:rStyle w:val="aa"/>
                </w:rPr>
                <w:commentReference w:id="5"/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</m:oMathPara>
      <w:commentRangeStart w:id="6"/>
      <w:r w:rsidR="00394FEE">
        <w:rPr>
          <w:rFonts w:hint="eastAsia"/>
          <w:iCs/>
          <w:noProof/>
        </w:rPr>
        <w:drawing>
          <wp:inline distT="0" distB="0" distL="0" distR="0" wp14:anchorId="03114649" wp14:editId="68F26B23">
            <wp:extent cx="2834291" cy="457045"/>
            <wp:effectExtent l="0" t="0" r="4445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50" cy="49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394FEE">
        <w:rPr>
          <w:rStyle w:val="aa"/>
        </w:rPr>
        <w:commentReference w:id="6"/>
      </w:r>
    </w:p>
    <w:p w14:paraId="5540A3C2" w14:textId="0FC9F9A7" w:rsidR="00394FEE" w:rsidRDefault="00394FEE" w:rsidP="00394FEE">
      <w:pPr>
        <w:ind w:firstLineChars="100" w:firstLine="210"/>
        <w:jc w:val="left"/>
        <w:rPr>
          <w:iCs/>
          <w:noProof/>
        </w:rPr>
      </w:pPr>
      <w:r>
        <w:rPr>
          <w:rFonts w:hint="eastAsia"/>
          <w:iCs/>
          <w:noProof/>
        </w:rPr>
        <w:t>である．</w:t>
      </w:r>
    </w:p>
    <w:p w14:paraId="527B3DAE" w14:textId="096788BA" w:rsidR="00394FEE" w:rsidRDefault="00394FEE" w:rsidP="00394FEE">
      <w:pPr>
        <w:ind w:firstLineChars="100" w:firstLine="210"/>
        <w:jc w:val="left"/>
        <w:rPr>
          <w:iCs/>
          <w:noProof/>
        </w:rPr>
      </w:pPr>
      <w:r>
        <w:rPr>
          <w:rFonts w:hint="eastAsia"/>
          <w:iCs/>
          <w:noProof/>
        </w:rPr>
        <w:t>ギルザノフの定理により，以下の</w:t>
      </w:r>
      <m:oMath>
        <m:sSup>
          <m:sSupPr>
            <m:ctrlPr>
              <w:rPr>
                <w:rFonts w:ascii="Cambria Math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W</m:t>
            </m:r>
          </m:e>
          <m:sup>
            <m:r>
              <w:rPr>
                <w:rFonts w:ascii="Cambria Math" w:hAnsi="Cambria Math"/>
                <w:noProof/>
              </w:rPr>
              <m:t>U</m:t>
            </m:r>
          </m:sup>
        </m:sSup>
      </m:oMath>
      <w:r>
        <w:rPr>
          <w:rFonts w:hint="eastAsia"/>
          <w:iCs/>
          <w:noProof/>
        </w:rPr>
        <w:t>はフォワード測度下でのn次元ブラウン運動になる．</w:t>
      </w:r>
    </w:p>
    <w:p w14:paraId="63F4FDAB" w14:textId="1B107E56" w:rsidR="00394FEE" w:rsidRDefault="00394FEE" w:rsidP="00394FEE">
      <w:pPr>
        <w:ind w:firstLineChars="100" w:firstLine="210"/>
        <w:jc w:val="center"/>
        <w:rPr>
          <w:iCs/>
          <w:noProof/>
        </w:rPr>
      </w:pPr>
      <w:r w:rsidRPr="00394FEE">
        <w:rPr>
          <w:rFonts w:hint="eastAsia"/>
          <w:iCs/>
          <w:noProof/>
        </w:rPr>
        <w:drawing>
          <wp:inline distT="0" distB="0" distL="0" distR="0" wp14:anchorId="1C6A79EF" wp14:editId="2041E590">
            <wp:extent cx="3263900" cy="798704"/>
            <wp:effectExtent l="0" t="0" r="0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96" cy="81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657C" w14:textId="7630084F" w:rsidR="00394FEE" w:rsidRDefault="00394FEE" w:rsidP="00394FEE">
      <w:pPr>
        <w:ind w:firstLineChars="100" w:firstLine="210"/>
        <w:jc w:val="left"/>
        <w:rPr>
          <w:iCs/>
          <w:noProof/>
        </w:rPr>
      </w:pPr>
      <w:r>
        <w:rPr>
          <w:rFonts w:hint="eastAsia"/>
          <w:iCs/>
          <w:noProof/>
        </w:rPr>
        <w:t>したがって，このブラウン運動を使うと，フォワードレートのS</w:t>
      </w:r>
      <w:r>
        <w:rPr>
          <w:iCs/>
          <w:noProof/>
        </w:rPr>
        <w:t>DE</w:t>
      </w:r>
      <w:r>
        <w:rPr>
          <w:rFonts w:hint="eastAsia"/>
          <w:iCs/>
          <w:noProof/>
        </w:rPr>
        <w:t>は以下のようになる．</w:t>
      </w:r>
    </w:p>
    <w:p w14:paraId="2BBBBDEE" w14:textId="7FD1BC0A" w:rsidR="00394FEE" w:rsidRPr="00394FEE" w:rsidRDefault="00394FEE" w:rsidP="00394FEE">
      <w:pPr>
        <w:ind w:firstLineChars="100" w:firstLine="210"/>
        <w:jc w:val="center"/>
        <w:rPr>
          <w:rFonts w:hint="eastAsia"/>
          <w:iCs/>
          <w:noProof/>
        </w:rPr>
      </w:pPr>
      <w:r w:rsidRPr="00394FEE">
        <w:rPr>
          <w:rFonts w:hint="eastAsia"/>
        </w:rPr>
        <w:drawing>
          <wp:inline distT="0" distB="0" distL="0" distR="0" wp14:anchorId="34539542" wp14:editId="7C815049">
            <wp:extent cx="4370070" cy="179111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31" cy="179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FEE" w:rsidRPr="00394FEE" w:rsidSect="005F56C9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 Ai" w:date="2021-03-28T20:27:00Z" w:initials="YA">
    <w:p w14:paraId="2469ED61" w14:textId="1035E825" w:rsidR="00E57902" w:rsidRDefault="00E5790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ショートレートはどんな短期金利モデル？</w:t>
      </w:r>
    </w:p>
  </w:comment>
  <w:comment w:id="1" w:author="Y Ai" w:date="2021-03-29T00:06:00Z" w:initials="YA">
    <w:p w14:paraId="16A1E848" w14:textId="3BD37DFE" w:rsidR="00E57902" w:rsidRDefault="00E5790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なんで</w:t>
      </w:r>
    </w:p>
  </w:comment>
  <w:comment w:id="2" w:author="Y Ai" w:date="2021-03-28T22:58:00Z" w:initials="YA">
    <w:p w14:paraId="29B1F826" w14:textId="25ABA851" w:rsidR="00E57902" w:rsidRDefault="00E5790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定義</w:t>
      </w:r>
    </w:p>
  </w:comment>
  <w:comment w:id="3" w:author="Y Ai" w:date="2021-03-29T00:09:00Z" w:initials="YA">
    <w:p w14:paraId="3479CE55" w14:textId="08BFF8DD" w:rsidR="00E57902" w:rsidRDefault="00E5790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なんで？</w:t>
      </w:r>
    </w:p>
  </w:comment>
  <w:comment w:id="4" w:author="Y Ai" w:date="2021-03-29T00:42:00Z" w:initials="YA">
    <w:p w14:paraId="1C8B36AE" w14:textId="08CCDC3D" w:rsidR="00E57902" w:rsidRDefault="00E5790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なんでこのように合成っるのか</w:t>
      </w:r>
    </w:p>
  </w:comment>
  <w:comment w:id="5" w:author="Y Ai" w:date="2021-03-30T09:23:00Z" w:initials="YA">
    <w:p w14:paraId="2BD73753" w14:textId="01C3A96E" w:rsidR="00394FEE" w:rsidRDefault="00394FE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導出</w:t>
      </w:r>
    </w:p>
  </w:comment>
  <w:comment w:id="6" w:author="Y Ai" w:date="2021-03-30T09:23:00Z" w:initials="YA">
    <w:p w14:paraId="4A4790B1" w14:textId="5A1AE72D" w:rsidR="00394FEE" w:rsidRDefault="00394FE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導出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69ED61" w15:done="0"/>
  <w15:commentEx w15:paraId="16A1E848" w15:done="0"/>
  <w15:commentEx w15:paraId="29B1F826" w15:done="0"/>
  <w15:commentEx w15:paraId="3479CE55" w15:done="0"/>
  <w15:commentEx w15:paraId="1C8B36AE" w15:done="0"/>
  <w15:commentEx w15:paraId="2BD73753" w15:done="0"/>
  <w15:commentEx w15:paraId="4A4790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B653E" w16cex:dateUtc="2021-03-28T11:27:00Z"/>
  <w16cex:commentExtensible w16cex:durableId="240B9871" w16cex:dateUtc="2021-03-28T15:06:00Z"/>
  <w16cex:commentExtensible w16cex:durableId="240B88B2" w16cex:dateUtc="2021-03-28T13:58:00Z"/>
  <w16cex:commentExtensible w16cex:durableId="240B9945" w16cex:dateUtc="2021-03-28T15:09:00Z"/>
  <w16cex:commentExtensible w16cex:durableId="240BA0F9" w16cex:dateUtc="2021-03-28T15:42:00Z"/>
  <w16cex:commentExtensible w16cex:durableId="240D6C88" w16cex:dateUtc="2021-03-30T00:23:00Z"/>
  <w16cex:commentExtensible w16cex:durableId="240D6C8F" w16cex:dateUtc="2021-03-30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69ED61" w16cid:durableId="240B653E"/>
  <w16cid:commentId w16cid:paraId="16A1E848" w16cid:durableId="240B9871"/>
  <w16cid:commentId w16cid:paraId="29B1F826" w16cid:durableId="240B88B2"/>
  <w16cid:commentId w16cid:paraId="3479CE55" w16cid:durableId="240B9945"/>
  <w16cid:commentId w16cid:paraId="1C8B36AE" w16cid:durableId="240BA0F9"/>
  <w16cid:commentId w16cid:paraId="2BD73753" w16cid:durableId="240D6C88"/>
  <w16cid:commentId w16cid:paraId="4A4790B1" w16cid:durableId="240D6C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90EF2" w14:textId="77777777" w:rsidR="000F5E73" w:rsidRDefault="000F5E73" w:rsidP="005F56C9">
      <w:r>
        <w:separator/>
      </w:r>
    </w:p>
  </w:endnote>
  <w:endnote w:type="continuationSeparator" w:id="0">
    <w:p w14:paraId="2A2EB189" w14:textId="77777777" w:rsidR="000F5E73" w:rsidRDefault="000F5E73" w:rsidP="005F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83007" w14:textId="77777777" w:rsidR="000F5E73" w:rsidRDefault="000F5E73" w:rsidP="005F56C9">
      <w:r>
        <w:separator/>
      </w:r>
    </w:p>
  </w:footnote>
  <w:footnote w:type="continuationSeparator" w:id="0">
    <w:p w14:paraId="4A97874B" w14:textId="77777777" w:rsidR="000F5E73" w:rsidRDefault="000F5E73" w:rsidP="005F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3799"/>
    <w:multiLevelType w:val="hybridMultilevel"/>
    <w:tmpl w:val="619E88D2"/>
    <w:lvl w:ilvl="0" w:tplc="138C2B2A">
      <w:start w:val="1"/>
      <w:numFmt w:val="decimal"/>
      <w:lvlText w:val="(%1)"/>
      <w:lvlJc w:val="left"/>
      <w:pPr>
        <w:ind w:left="5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7" w:tentative="1">
      <w:start w:val="1"/>
      <w:numFmt w:val="aiueoFullWidth"/>
      <w:lvlText w:val="(%5)"/>
      <w:lvlJc w:val="left"/>
      <w:pPr>
        <w:ind w:left="22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7" w:tentative="1">
      <w:start w:val="1"/>
      <w:numFmt w:val="aiueoFullWidth"/>
      <w:lvlText w:val="(%8)"/>
      <w:lvlJc w:val="left"/>
      <w:pPr>
        <w:ind w:left="34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0" w:hanging="420"/>
      </w:pPr>
    </w:lvl>
  </w:abstractNum>
  <w:abstractNum w:abstractNumId="1" w15:restartNumberingAfterBreak="0">
    <w:nsid w:val="358029B5"/>
    <w:multiLevelType w:val="hybridMultilevel"/>
    <w:tmpl w:val="69F0B1F2"/>
    <w:lvl w:ilvl="0" w:tplc="138C2B2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FB3075D"/>
    <w:multiLevelType w:val="hybridMultilevel"/>
    <w:tmpl w:val="D30C2D2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62B2F59"/>
    <w:multiLevelType w:val="hybridMultilevel"/>
    <w:tmpl w:val="ADCE41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346E1D8">
      <w:start w:val="4"/>
      <w:numFmt w:val="bullet"/>
      <w:lvlText w:val="●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4D5876"/>
    <w:multiLevelType w:val="hybridMultilevel"/>
    <w:tmpl w:val="EB3CF50C"/>
    <w:lvl w:ilvl="0" w:tplc="138C2B2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3327E4E"/>
    <w:multiLevelType w:val="hybridMultilevel"/>
    <w:tmpl w:val="AEA2E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 Ai">
    <w15:presenceInfo w15:providerId="Windows Live" w15:userId="67ec77f764f98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C9"/>
    <w:rsid w:val="00096738"/>
    <w:rsid w:val="000D159F"/>
    <w:rsid w:val="000F5E73"/>
    <w:rsid w:val="00197C59"/>
    <w:rsid w:val="00213E38"/>
    <w:rsid w:val="0024153E"/>
    <w:rsid w:val="00394FEE"/>
    <w:rsid w:val="004E4BF8"/>
    <w:rsid w:val="00506E88"/>
    <w:rsid w:val="00522C2A"/>
    <w:rsid w:val="005F56C9"/>
    <w:rsid w:val="00632D73"/>
    <w:rsid w:val="006551D5"/>
    <w:rsid w:val="006B51D1"/>
    <w:rsid w:val="006C3448"/>
    <w:rsid w:val="006D559F"/>
    <w:rsid w:val="0072778E"/>
    <w:rsid w:val="00735E1C"/>
    <w:rsid w:val="008241C8"/>
    <w:rsid w:val="00834038"/>
    <w:rsid w:val="008523D7"/>
    <w:rsid w:val="00933B49"/>
    <w:rsid w:val="009961BE"/>
    <w:rsid w:val="009E2D58"/>
    <w:rsid w:val="00AC7086"/>
    <w:rsid w:val="00B01500"/>
    <w:rsid w:val="00B10C02"/>
    <w:rsid w:val="00B8400C"/>
    <w:rsid w:val="00D3648B"/>
    <w:rsid w:val="00E226AC"/>
    <w:rsid w:val="00E57902"/>
    <w:rsid w:val="00EA71AF"/>
    <w:rsid w:val="00F12B77"/>
    <w:rsid w:val="00F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3270CA"/>
  <w15:chartTrackingRefBased/>
  <w15:docId w15:val="{03B2CD91-D767-4136-8A13-D3446797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56C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0D159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6C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6C9"/>
  </w:style>
  <w:style w:type="paragraph" w:styleId="a5">
    <w:name w:val="footer"/>
    <w:basedOn w:val="a"/>
    <w:link w:val="a6"/>
    <w:uiPriority w:val="99"/>
    <w:unhideWhenUsed/>
    <w:rsid w:val="005F56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6C9"/>
  </w:style>
  <w:style w:type="character" w:customStyle="1" w:styleId="20">
    <w:name w:val="見出し 2 (文字)"/>
    <w:basedOn w:val="a0"/>
    <w:link w:val="2"/>
    <w:uiPriority w:val="9"/>
    <w:rsid w:val="005F56C9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8523D7"/>
    <w:pPr>
      <w:ind w:leftChars="400" w:left="840"/>
    </w:pPr>
  </w:style>
  <w:style w:type="character" w:styleId="a8">
    <w:name w:val="Placeholder Text"/>
    <w:basedOn w:val="a0"/>
    <w:uiPriority w:val="99"/>
    <w:semiHidden/>
    <w:rsid w:val="008523D7"/>
    <w:rPr>
      <w:color w:val="808080"/>
    </w:rPr>
  </w:style>
  <w:style w:type="table" w:styleId="a9">
    <w:name w:val="Table Grid"/>
    <w:basedOn w:val="a1"/>
    <w:uiPriority w:val="39"/>
    <w:rsid w:val="00852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8400C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B8400C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B8400C"/>
  </w:style>
  <w:style w:type="paragraph" w:styleId="ad">
    <w:name w:val="annotation subject"/>
    <w:basedOn w:val="ab"/>
    <w:next w:val="ab"/>
    <w:link w:val="ae"/>
    <w:uiPriority w:val="99"/>
    <w:semiHidden/>
    <w:unhideWhenUsed/>
    <w:rsid w:val="00B8400C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B8400C"/>
    <w:rPr>
      <w:b/>
      <w:bCs/>
    </w:rPr>
  </w:style>
  <w:style w:type="character" w:styleId="af">
    <w:name w:val="Hyperlink"/>
    <w:basedOn w:val="a0"/>
    <w:uiPriority w:val="99"/>
    <w:unhideWhenUsed/>
    <w:rsid w:val="000D159F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D159F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rsid w:val="000D159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Ai</dc:creator>
  <cp:keywords/>
  <dc:description/>
  <cp:lastModifiedBy>Y Ai</cp:lastModifiedBy>
  <cp:revision>3</cp:revision>
  <dcterms:created xsi:type="dcterms:W3CDTF">2021-03-28T09:56:00Z</dcterms:created>
  <dcterms:modified xsi:type="dcterms:W3CDTF">2021-03-30T00:28:00Z</dcterms:modified>
</cp:coreProperties>
</file>