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5421" w14:textId="77777777" w:rsidR="003C5FBB" w:rsidRDefault="003C5FBB" w:rsidP="00C03A31">
      <w:pPr>
        <w:pStyle w:val="a3"/>
      </w:pPr>
    </w:p>
    <w:p w14:paraId="030FDDBF" w14:textId="25B9D774" w:rsidR="00327AEA" w:rsidRDefault="00C03A31" w:rsidP="00C03A31">
      <w:pPr>
        <w:pStyle w:val="a3"/>
      </w:pPr>
      <w:r>
        <w:rPr>
          <w:rFonts w:hint="eastAsia"/>
        </w:rPr>
        <w:t>規制資本評価に対するグラニュラリティ調整</w:t>
      </w:r>
    </w:p>
    <w:p w14:paraId="05519D53" w14:textId="19F4BC70" w:rsidR="00C03A31" w:rsidRDefault="00C03A31" w:rsidP="00C03A31">
      <w:pPr>
        <w:pStyle w:val="2"/>
      </w:pPr>
      <w:r>
        <w:rPr>
          <w:rFonts w:hint="eastAsia"/>
        </w:rPr>
        <w:t>概要</w:t>
      </w:r>
    </w:p>
    <w:p w14:paraId="5CEDC697" w14:textId="7D02DE8E" w:rsidR="00C03A31" w:rsidRDefault="00C40AEA" w:rsidP="00C40AEA">
      <w:pPr>
        <w:pStyle w:val="a5"/>
        <w:numPr>
          <w:ilvl w:val="0"/>
          <w:numId w:val="1"/>
        </w:numPr>
        <w:ind w:leftChars="0"/>
      </w:pPr>
      <w:r>
        <w:rPr>
          <w:rFonts w:hint="eastAsia"/>
        </w:rPr>
        <w:t>バーゼルⅡ，Ⅲにおける内部格付手法</w:t>
      </w:r>
      <w:r w:rsidR="00E6747F">
        <w:t>(</w:t>
      </w:r>
      <w:r>
        <w:t>IRB</w:t>
      </w:r>
      <w:r>
        <w:rPr>
          <w:rFonts w:hint="eastAsia"/>
        </w:rPr>
        <w:t>，</w:t>
      </w:r>
      <w:r w:rsidR="00E6747F">
        <w:t>internal ratings-bas</w:t>
      </w:r>
      <w:r w:rsidR="0001773F">
        <w:rPr>
          <w:rFonts w:hint="eastAsia"/>
        </w:rPr>
        <w:t>e</w:t>
      </w:r>
      <w:r w:rsidR="00E6747F">
        <w:t>d)</w:t>
      </w:r>
      <w:r w:rsidR="00E6747F">
        <w:rPr>
          <w:rFonts w:hint="eastAsia"/>
        </w:rPr>
        <w:t>に基づく</w:t>
      </w:r>
      <w:r w:rsidR="00C03A31">
        <w:t>Value at Risk</w:t>
      </w:r>
      <w:r w:rsidR="00E6747F">
        <w:rPr>
          <w:rFonts w:hint="eastAsia"/>
        </w:rPr>
        <w:t>では分散投資により固有リスクは０であるとしている．そのため</w:t>
      </w:r>
      <w:r w:rsidR="00CB6A97">
        <w:rPr>
          <w:rFonts w:hint="eastAsia"/>
        </w:rPr>
        <w:t>，エコノミックキャピタル</w:t>
      </w:r>
      <w:r w:rsidR="00CB6A97">
        <w:rPr>
          <w:rStyle w:val="a8"/>
        </w:rPr>
        <w:footnoteReference w:id="1"/>
      </w:r>
      <w:r w:rsidR="00CB6A97">
        <w:rPr>
          <w:rFonts w:hint="eastAsia"/>
        </w:rPr>
        <w:t>は市場リスクにのみ晒される．</w:t>
      </w:r>
      <w:r w:rsidR="00C03A31">
        <w:rPr>
          <w:rFonts w:hint="eastAsia"/>
        </w:rPr>
        <w:t xml:space="preserve"> </w:t>
      </w:r>
    </w:p>
    <w:p w14:paraId="552D6C59" w14:textId="77777777" w:rsidR="002254BA" w:rsidRDefault="00CB6A97" w:rsidP="002254BA">
      <w:pPr>
        <w:pStyle w:val="a5"/>
        <w:numPr>
          <w:ilvl w:val="0"/>
          <w:numId w:val="1"/>
        </w:numPr>
        <w:ind w:leftChars="0"/>
      </w:pPr>
      <w:r>
        <w:rPr>
          <w:rFonts w:hint="eastAsia"/>
        </w:rPr>
        <w:t>この論文では</w:t>
      </w:r>
    </w:p>
    <w:p w14:paraId="373C5D27" w14:textId="4AA277A2" w:rsidR="00CB6A97" w:rsidRDefault="00CB6A97" w:rsidP="002254BA">
      <w:pPr>
        <w:pStyle w:val="a5"/>
        <w:numPr>
          <w:ilvl w:val="1"/>
          <w:numId w:val="1"/>
        </w:numPr>
        <w:ind w:leftChars="0"/>
      </w:pPr>
      <w:r>
        <w:rPr>
          <w:rFonts w:hint="eastAsia"/>
        </w:rPr>
        <w:t>グラニュラリティ調整によって固有リスクの効果を近似的に計算する．</w:t>
      </w:r>
    </w:p>
    <w:p w14:paraId="55D471DE" w14:textId="7B7FF312" w:rsidR="002254BA" w:rsidRDefault="002254BA" w:rsidP="002254BA">
      <w:pPr>
        <w:pStyle w:val="a5"/>
        <w:numPr>
          <w:ilvl w:val="1"/>
          <w:numId w:val="1"/>
        </w:numPr>
        <w:ind w:leftChars="0"/>
      </w:pPr>
      <w:r>
        <w:rPr>
          <w:rFonts w:hint="eastAsia"/>
        </w:rPr>
        <w:t>ポートフォリオに関する不完全な情報の下でGAの上界と下界を導出する．</w:t>
      </w:r>
    </w:p>
    <w:p w14:paraId="3D13508B" w14:textId="13E85B31" w:rsidR="0001773F" w:rsidRDefault="002254BA" w:rsidP="0001773F">
      <w:pPr>
        <w:pStyle w:val="a5"/>
        <w:numPr>
          <w:ilvl w:val="1"/>
          <w:numId w:val="1"/>
        </w:numPr>
        <w:ind w:leftChars="0"/>
      </w:pPr>
      <w:r>
        <w:rPr>
          <w:rFonts w:hint="eastAsia"/>
        </w:rPr>
        <w:t>ドイツの信用登録簿から抽出した銀行のポートフォリオを対象にGAの大きさと精度を評価する．</w:t>
      </w:r>
    </w:p>
    <w:p w14:paraId="53FF2C09" w14:textId="58C7CE31" w:rsidR="00540B06" w:rsidRDefault="00540B06" w:rsidP="00540B06"/>
    <w:p w14:paraId="043E03BF" w14:textId="462D8C56" w:rsidR="00540B06" w:rsidRPr="00540B06" w:rsidRDefault="00540B06" w:rsidP="00540B06">
      <w:pPr>
        <w:pStyle w:val="a5"/>
        <w:numPr>
          <w:ilvl w:val="0"/>
          <w:numId w:val="5"/>
        </w:numPr>
        <w:ind w:leftChars="0"/>
        <w:rPr>
          <w:b/>
          <w:bCs/>
          <w:sz w:val="32"/>
          <w:szCs w:val="36"/>
        </w:rPr>
      </w:pPr>
      <w:r w:rsidRPr="00540B06">
        <w:rPr>
          <w:rFonts w:hint="eastAsia"/>
          <w:b/>
          <w:bCs/>
          <w:sz w:val="32"/>
          <w:szCs w:val="36"/>
        </w:rPr>
        <w:t>導入</w:t>
      </w:r>
    </w:p>
    <w:p w14:paraId="0BB98862" w14:textId="7A7FAFCC" w:rsidR="00E64D20" w:rsidRDefault="00C40AEA" w:rsidP="00E64D20">
      <w:pPr>
        <w:pStyle w:val="a5"/>
        <w:numPr>
          <w:ilvl w:val="0"/>
          <w:numId w:val="2"/>
        </w:numPr>
        <w:ind w:leftChars="0"/>
      </w:pPr>
      <w:r>
        <w:rPr>
          <w:rFonts w:hint="eastAsia"/>
        </w:rPr>
        <w:t>内部格付手法では固有リスクは0であること，市場リスクが単一のリスク源にのみ起因することが仮定されている．</w:t>
      </w:r>
      <w:r w:rsidR="00E64D20">
        <w:rPr>
          <w:rFonts w:hint="eastAsia"/>
        </w:rPr>
        <w:t>したがって，</w:t>
      </w:r>
      <w:r w:rsidR="00E72AFC">
        <w:rPr>
          <w:rFonts w:hint="eastAsia"/>
        </w:rPr>
        <w:t>適切な条件を置けば資本コストは解析的に導出される．</w:t>
      </w:r>
    </w:p>
    <w:p w14:paraId="0F881CC6" w14:textId="64BA1238" w:rsidR="00E72AFC" w:rsidRDefault="00E72AFC" w:rsidP="00E64D20">
      <w:pPr>
        <w:pStyle w:val="a5"/>
        <w:numPr>
          <w:ilvl w:val="0"/>
          <w:numId w:val="2"/>
        </w:numPr>
        <w:ind w:leftChars="0"/>
      </w:pPr>
      <w:r>
        <w:rPr>
          <w:rFonts w:hint="eastAsia"/>
        </w:rPr>
        <w:t>モンテカルロシミュレーションと比較すると透明性や検証可能性等の観点からこのように解析的に導出できるような資本規制が良いとされる．</w:t>
      </w:r>
    </w:p>
    <w:p w14:paraId="5159E867" w14:textId="709397BC" w:rsidR="00E72AFC" w:rsidRDefault="00E72AFC" w:rsidP="00E64D20">
      <w:pPr>
        <w:pStyle w:val="a5"/>
        <w:numPr>
          <w:ilvl w:val="0"/>
          <w:numId w:val="2"/>
        </w:numPr>
        <w:ind w:leftChars="0"/>
      </w:pPr>
      <w:r>
        <w:rPr>
          <w:rFonts w:hint="eastAsia"/>
        </w:rPr>
        <w:t>固有リスクが0であるという</w:t>
      </w:r>
      <w:r w:rsidR="00ED1603">
        <w:rPr>
          <w:rFonts w:hint="eastAsia"/>
        </w:rPr>
        <w:t>仮定</w:t>
      </w:r>
      <w:r>
        <w:rPr>
          <w:rFonts w:hint="eastAsia"/>
        </w:rPr>
        <w:t>は一部の大規模な金融機関ならば有用だが，中小規模であれば有用ではない．</w:t>
      </w:r>
    </w:p>
    <w:p w14:paraId="68CF87F7" w14:textId="350DB8E1" w:rsidR="00204D44" w:rsidRDefault="00204D44" w:rsidP="00E64D20">
      <w:pPr>
        <w:pStyle w:val="a5"/>
        <w:numPr>
          <w:ilvl w:val="0"/>
          <w:numId w:val="2"/>
        </w:numPr>
        <w:ind w:leftChars="0"/>
      </w:pPr>
      <w:r>
        <w:rPr>
          <w:rFonts w:hint="eastAsia"/>
        </w:rPr>
        <w:t>必要となる資本に対する固有リスクの影響はGA</w:t>
      </w:r>
      <w:r w:rsidR="00ED1603">
        <w:rPr>
          <w:rFonts w:hint="eastAsia"/>
        </w:rPr>
        <w:t>を</w:t>
      </w:r>
      <w:r>
        <w:rPr>
          <w:rFonts w:hint="eastAsia"/>
        </w:rPr>
        <w:t>通して評価できる．</w:t>
      </w:r>
    </w:p>
    <w:p w14:paraId="611E3A1F" w14:textId="6A7A56C5" w:rsidR="00204D44" w:rsidRDefault="00204D44" w:rsidP="00E64D20">
      <w:pPr>
        <w:pStyle w:val="a5"/>
        <w:numPr>
          <w:ilvl w:val="0"/>
          <w:numId w:val="2"/>
        </w:numPr>
        <w:ind w:leftChars="0"/>
      </w:pPr>
      <w:r>
        <w:rPr>
          <w:rFonts w:hint="eastAsia"/>
        </w:rPr>
        <w:t>この論文では銀行やその監督者が適用しやすいようなGAの手法を提案する．</w:t>
      </w:r>
    </w:p>
    <w:p w14:paraId="725FA4E5" w14:textId="77777777" w:rsidR="00ED1603" w:rsidRDefault="00ED1603" w:rsidP="00ED1603">
      <w:pPr>
        <w:pStyle w:val="a5"/>
        <w:ind w:leftChars="0" w:left="420"/>
        <w:rPr>
          <w:rFonts w:hint="eastAsia"/>
        </w:rPr>
      </w:pPr>
    </w:p>
    <w:p w14:paraId="390C8969" w14:textId="5A45E385" w:rsidR="00766EFC" w:rsidRDefault="00766EFC" w:rsidP="00766EFC">
      <w:pPr>
        <w:pStyle w:val="a5"/>
        <w:numPr>
          <w:ilvl w:val="0"/>
          <w:numId w:val="2"/>
        </w:numPr>
        <w:ind w:leftChars="0"/>
      </w:pPr>
      <w:r w:rsidRPr="00766EFC">
        <w:rPr>
          <w:rFonts w:hint="eastAsia"/>
        </w:rPr>
        <w:t>銀行が同一の債務者に対して複数のエクスポージャーを持っている場合</w:t>
      </w:r>
      <w:r>
        <w:rPr>
          <w:rFonts w:hint="eastAsia"/>
        </w:rPr>
        <w:t>，</w:t>
      </w:r>
      <w:r w:rsidRPr="00766EFC">
        <w:t>GA</w:t>
      </w:r>
      <w:r>
        <w:rPr>
          <w:rFonts w:hint="eastAsia"/>
        </w:rPr>
        <w:t>の計算に必要な数値</w:t>
      </w:r>
      <w:r w:rsidRPr="00766EFC">
        <w:t>を計算するためには</w:t>
      </w:r>
      <w:r>
        <w:rPr>
          <w:rFonts w:hint="eastAsia"/>
        </w:rPr>
        <w:t>，</w:t>
      </w:r>
      <w:r w:rsidRPr="00766EFC">
        <w:t>これらの複数のエクスポージャーを単一のエクスポージャーに集約することが求められる</w:t>
      </w:r>
      <w:r>
        <w:rPr>
          <w:rFonts w:hint="eastAsia"/>
        </w:rPr>
        <w:t>．</w:t>
      </w:r>
    </w:p>
    <w:p w14:paraId="58E0EB9F" w14:textId="5CF45CA1" w:rsidR="003C5FBB" w:rsidRDefault="00766EFC" w:rsidP="003C5FBB">
      <w:pPr>
        <w:pStyle w:val="a5"/>
        <w:numPr>
          <w:ilvl w:val="0"/>
          <w:numId w:val="2"/>
        </w:numPr>
        <w:ind w:leftChars="0"/>
      </w:pPr>
      <w:r>
        <w:rPr>
          <w:rFonts w:hint="eastAsia"/>
        </w:rPr>
        <w:t>多くの金融機関ではこのような集約をすることがGAを計算するうえで最も大きな課</w:t>
      </w:r>
      <w:r>
        <w:rPr>
          <w:rFonts w:hint="eastAsia"/>
        </w:rPr>
        <w:lastRenderedPageBreak/>
        <w:t>題となる．</w:t>
      </w:r>
    </w:p>
    <w:p w14:paraId="25927996" w14:textId="51D475A8" w:rsidR="00ED1603" w:rsidRDefault="00ED1603" w:rsidP="00ED1603"/>
    <w:p w14:paraId="059CBEF3" w14:textId="77777777" w:rsidR="00ED1603" w:rsidRDefault="00ED1603" w:rsidP="00ED1603">
      <w:pPr>
        <w:pStyle w:val="a5"/>
        <w:numPr>
          <w:ilvl w:val="0"/>
          <w:numId w:val="10"/>
        </w:numPr>
        <w:ind w:leftChars="0"/>
      </w:pPr>
      <w:r>
        <w:rPr>
          <w:rFonts w:hint="eastAsia"/>
        </w:rPr>
        <w:t>エクスポージャーの集約に伴う負担を軽減するために，改訂版</w:t>
      </w:r>
      <w:r>
        <w:t>GAでは，ポートフォリオ内の最大のエクスポージャーに基づいてGAを算出</w:t>
      </w:r>
      <w:r>
        <w:rPr>
          <w:rFonts w:hint="eastAsia"/>
        </w:rPr>
        <w:t>している．</w:t>
      </w:r>
    </w:p>
    <w:p w14:paraId="69562985" w14:textId="77777777" w:rsidR="00ED1603" w:rsidRDefault="00ED1603" w:rsidP="00ED1603">
      <w:pPr>
        <w:pStyle w:val="a5"/>
        <w:numPr>
          <w:ilvl w:val="0"/>
          <w:numId w:val="10"/>
        </w:numPr>
        <w:ind w:leftChars="0"/>
      </w:pPr>
      <w:r>
        <w:t>このようなオプションを認めるためには，規制当局は，銀行から提供された不完全なデータと整合性のある最大のGAを算出できなければならない．</w:t>
      </w:r>
    </w:p>
    <w:p w14:paraId="2983CAD4" w14:textId="77777777" w:rsidR="00ED1603" w:rsidRDefault="00ED1603" w:rsidP="00ED1603">
      <w:pPr>
        <w:pStyle w:val="a5"/>
        <w:numPr>
          <w:ilvl w:val="0"/>
          <w:numId w:val="10"/>
        </w:numPr>
        <w:ind w:leftChars="0"/>
      </w:pPr>
      <w:r>
        <w:t>したがって，</w:t>
      </w:r>
      <w:r>
        <w:rPr>
          <w:rFonts w:hint="eastAsia"/>
        </w:rPr>
        <w:t>本論文の</w:t>
      </w:r>
      <w:r>
        <w:t>アプローチは，n個のローンのポートフォリオのうち，m個のエクスポージャーに関する完全なデータと</w:t>
      </w:r>
      <w:r>
        <w:rPr>
          <w:rFonts w:hint="eastAsia"/>
        </w:rPr>
        <w:t>，ポートフォリオの残りの部分に関するサマリーデータの関数として，</w:t>
      </w:r>
      <w:r>
        <w:t>GAの上限式</w:t>
      </w:r>
      <w:r>
        <w:rPr>
          <w:rFonts w:hint="eastAsia"/>
        </w:rPr>
        <w:t>を算出する</w:t>
      </w:r>
      <w:r>
        <w:t>．mがnに向かって大きくなるにつれて（つまり，銀行がポートフォリオのより大きなシェアに関するデータを提供するにつれて），上限式は「ポートフォリオ全体」のGAに収束する．</w:t>
      </w:r>
    </w:p>
    <w:p w14:paraId="4008F5FE" w14:textId="77777777" w:rsidR="00ED1603" w:rsidRDefault="00ED1603" w:rsidP="00ED1603">
      <w:pPr>
        <w:pStyle w:val="a5"/>
        <w:numPr>
          <w:ilvl w:val="0"/>
          <w:numId w:val="10"/>
        </w:numPr>
        <w:ind w:leftChars="0"/>
      </w:pPr>
      <w:r>
        <w:t>この方法の利点は，銀行が，高い資本コスト（mが小さい場合）と高いデータ収集労力（mが大きい場合）の間のトレードオフに従ってmを選択することを認められ，それによって導入コストを削減できることです．</w:t>
      </w:r>
    </w:p>
    <w:p w14:paraId="32D1D5FC" w14:textId="77777777" w:rsidR="00ED1603" w:rsidRDefault="00ED1603" w:rsidP="00ED1603">
      <w:pPr>
        <w:pStyle w:val="a5"/>
        <w:numPr>
          <w:ilvl w:val="0"/>
          <w:numId w:val="10"/>
        </w:numPr>
        <w:ind w:leftChars="0"/>
      </w:pPr>
      <w:r>
        <w:rPr>
          <w:rFonts w:hint="eastAsia"/>
        </w:rPr>
        <w:t>広く使われている</w:t>
      </w:r>
      <w:proofErr w:type="spellStart"/>
      <w:r>
        <w:t>CreditRisk</w:t>
      </w:r>
      <w:proofErr w:type="spellEnd"/>
      <w:r>
        <w:t>+というポートフォリオの信用リスクのモデルに適用すると，結果として得られるGA式は特に扱いやすいものとなります．</w:t>
      </w:r>
    </w:p>
    <w:p w14:paraId="370AEDAE" w14:textId="77777777" w:rsidR="00ED1603" w:rsidRDefault="00ED1603" w:rsidP="00ED1603">
      <w:pPr>
        <w:pStyle w:val="a5"/>
        <w:numPr>
          <w:ilvl w:val="0"/>
          <w:numId w:val="10"/>
        </w:numPr>
        <w:ind w:leftChars="0"/>
      </w:pPr>
      <w:r>
        <w:t>セクション4では，ドイツのローンのデータセットから</w:t>
      </w:r>
      <w:r>
        <w:rPr>
          <w:rFonts w:hint="eastAsia"/>
        </w:rPr>
        <w:t>抽出した現実的なポートフォリオに対する</w:t>
      </w:r>
      <w:r>
        <w:t>GAの大きさと精度を評価します．</w:t>
      </w:r>
    </w:p>
    <w:p w14:paraId="5EB29F79" w14:textId="77777777" w:rsidR="00ED1603" w:rsidRPr="00ED1603" w:rsidRDefault="00ED1603" w:rsidP="00ED1603">
      <w:pPr>
        <w:rPr>
          <w:rFonts w:hint="eastAsia"/>
        </w:rPr>
      </w:pPr>
    </w:p>
    <w:p w14:paraId="0E66B163" w14:textId="63BC40A1" w:rsidR="00540B06" w:rsidRPr="00540B06" w:rsidRDefault="00540B06" w:rsidP="00540B06">
      <w:pPr>
        <w:pStyle w:val="a5"/>
        <w:numPr>
          <w:ilvl w:val="0"/>
          <w:numId w:val="6"/>
        </w:numPr>
        <w:ind w:leftChars="0"/>
        <w:rPr>
          <w:b/>
          <w:bCs/>
          <w:sz w:val="28"/>
          <w:szCs w:val="32"/>
        </w:rPr>
      </w:pPr>
      <w:r w:rsidRPr="00540B06">
        <w:rPr>
          <w:rFonts w:hint="eastAsia"/>
          <w:b/>
          <w:bCs/>
          <w:sz w:val="28"/>
          <w:szCs w:val="32"/>
        </w:rPr>
        <w:t>手法</w:t>
      </w:r>
    </w:p>
    <w:p w14:paraId="54625850" w14:textId="7C1FD951" w:rsidR="003C5FBB" w:rsidRDefault="00A65C4E" w:rsidP="00A65C4E">
      <w:pPr>
        <w:pStyle w:val="a5"/>
        <w:numPr>
          <w:ilvl w:val="0"/>
          <w:numId w:val="3"/>
        </w:numPr>
        <w:ind w:leftChars="0"/>
      </w:pPr>
      <w:r w:rsidRPr="00A65C4E">
        <w:t>IRBアプローチは</w:t>
      </w:r>
      <w:r>
        <w:rPr>
          <w:rFonts w:hint="eastAsia"/>
        </w:rPr>
        <w:t>，</w:t>
      </w:r>
      <w:r w:rsidRPr="00A65C4E">
        <w:t>中程度の規模の銀行や異常なポートフォリオの集中にも適用される可能性があるため</w:t>
      </w:r>
      <w:r>
        <w:rPr>
          <w:rFonts w:hint="eastAsia"/>
        </w:rPr>
        <w:t>，固有リスク</w:t>
      </w:r>
      <w:r w:rsidRPr="00A65C4E">
        <w:t>に対する資本が省略されると</w:t>
      </w:r>
      <w:r>
        <w:rPr>
          <w:rFonts w:hint="eastAsia"/>
        </w:rPr>
        <w:t>，</w:t>
      </w:r>
      <w:r w:rsidRPr="00A65C4E">
        <w:t>場合によっては重大な資本不足につながる可能性があ</w:t>
      </w:r>
      <w:r>
        <w:rPr>
          <w:rFonts w:hint="eastAsia"/>
        </w:rPr>
        <w:t>る．</w:t>
      </w:r>
    </w:p>
    <w:p w14:paraId="040097C9" w14:textId="25A6C31B" w:rsidR="00A65C4E" w:rsidRDefault="00540B06" w:rsidP="00540B06">
      <w:pPr>
        <w:pStyle w:val="a5"/>
        <w:numPr>
          <w:ilvl w:val="0"/>
          <w:numId w:val="3"/>
        </w:numPr>
        <w:ind w:leftChars="0"/>
      </w:pPr>
      <w:r>
        <w:rPr>
          <w:rFonts w:hint="eastAsia"/>
        </w:rPr>
        <w:t>この論文で提案する</w:t>
      </w:r>
      <w:r w:rsidR="00A65C4E">
        <w:t>GAは</w:t>
      </w:r>
      <w:r w:rsidR="00A65C4E">
        <w:rPr>
          <w:rFonts w:hint="eastAsia"/>
        </w:rPr>
        <w:t>，</w:t>
      </w:r>
      <w:r w:rsidR="00A65C4E">
        <w:t>CP2のオリジナルの提案を修正・拡張したもの</w:t>
      </w:r>
      <w:r w:rsidR="00A65C4E">
        <w:rPr>
          <w:rFonts w:hint="eastAsia"/>
        </w:rPr>
        <w:t>．</w:t>
      </w:r>
      <w:r w:rsidR="00A65C4E">
        <w:t>CP2のGAでは</w:t>
      </w:r>
      <w:r w:rsidR="00A65C4E">
        <w:rPr>
          <w:rFonts w:hint="eastAsia"/>
        </w:rPr>
        <w:t>，</w:t>
      </w:r>
      <w:r w:rsidR="00A65C4E">
        <w:t>第一段階の計算として</w:t>
      </w:r>
      <w:r w:rsidR="00A65C4E">
        <w:rPr>
          <w:rFonts w:hint="eastAsia"/>
        </w:rPr>
        <w:t>，</w:t>
      </w:r>
      <w:r w:rsidR="00A65C4E">
        <w:t>ポートフォリオを類似した特性を持つ同種のポートフォリオにマッピングする</w:t>
      </w:r>
      <w:r w:rsidR="00A65C4E">
        <w:rPr>
          <w:rFonts w:hint="eastAsia"/>
        </w:rPr>
        <w:t>．</w:t>
      </w:r>
      <w:r>
        <w:rPr>
          <w:rFonts w:hint="eastAsia"/>
        </w:rPr>
        <w:t>一方で，この論文では</w:t>
      </w:r>
      <w:r w:rsidR="00A65C4E">
        <w:t>異種のポートフォリオを直接計算に用います</w:t>
      </w:r>
      <w:r w:rsidR="00A65C4E">
        <w:rPr>
          <w:rFonts w:hint="eastAsia"/>
        </w:rPr>
        <w:t>．</w:t>
      </w:r>
    </w:p>
    <w:p w14:paraId="2C080774" w14:textId="665453D3" w:rsidR="00540B06" w:rsidRDefault="00A65C4E" w:rsidP="00540B06">
      <w:pPr>
        <w:pStyle w:val="a5"/>
        <w:numPr>
          <w:ilvl w:val="0"/>
          <w:numId w:val="3"/>
        </w:numPr>
        <w:ind w:leftChars="0"/>
      </w:pPr>
      <w:r>
        <w:t>その結果</w:t>
      </w:r>
      <w:r>
        <w:rPr>
          <w:rFonts w:hint="eastAsia"/>
        </w:rPr>
        <w:t>，</w:t>
      </w:r>
      <w:r>
        <w:t>アルゴリズムはよりシンプルになり</w:t>
      </w:r>
      <w:r>
        <w:rPr>
          <w:rFonts w:hint="eastAsia"/>
        </w:rPr>
        <w:t>，</w:t>
      </w:r>
      <w:r>
        <w:t>よりロバストに</w:t>
      </w:r>
      <w:r w:rsidR="00540B06">
        <w:rPr>
          <w:rFonts w:hint="eastAsia"/>
        </w:rPr>
        <w:t>なった</w:t>
      </w:r>
      <w:r>
        <w:rPr>
          <w:rFonts w:hint="eastAsia"/>
        </w:rPr>
        <w:t>．</w:t>
      </w:r>
      <w:r>
        <w:t>また</w:t>
      </w:r>
      <w:r>
        <w:rPr>
          <w:rFonts w:hint="eastAsia"/>
        </w:rPr>
        <w:t>，</w:t>
      </w:r>
      <w:r w:rsidR="00540B06">
        <w:rPr>
          <w:rFonts w:hint="eastAsia"/>
        </w:rPr>
        <w:t>本論文の</w:t>
      </w:r>
      <w:r>
        <w:t>手法は</w:t>
      </w:r>
      <w:r>
        <w:rPr>
          <w:rFonts w:hint="eastAsia"/>
        </w:rPr>
        <w:t>，</w:t>
      </w:r>
      <w:r>
        <w:t>CP2とBasel II文書の最終版との間の規制資本の定義の変更に適応している</w:t>
      </w:r>
      <w:r w:rsidR="00540B06">
        <w:rPr>
          <w:rFonts w:hint="eastAsia"/>
        </w:rPr>
        <w:t>．</w:t>
      </w:r>
    </w:p>
    <w:p w14:paraId="106C3CF7" w14:textId="11104F1B" w:rsidR="00540B06" w:rsidRDefault="00540B06" w:rsidP="00540B06">
      <w:pPr>
        <w:pStyle w:val="a5"/>
        <w:ind w:leftChars="0" w:left="0"/>
      </w:pPr>
    </w:p>
    <w:p w14:paraId="39B76E17" w14:textId="2A155696" w:rsidR="00540B06" w:rsidRDefault="00540B06" w:rsidP="00540B06">
      <w:pPr>
        <w:pStyle w:val="a5"/>
        <w:ind w:leftChars="0" w:left="0"/>
        <w:rPr>
          <w:b/>
          <w:bCs/>
          <w:u w:val="single"/>
        </w:rPr>
      </w:pPr>
      <w:r w:rsidRPr="00017503">
        <w:rPr>
          <w:rFonts w:hint="eastAsia"/>
          <w:b/>
          <w:bCs/>
          <w:u w:val="single"/>
        </w:rPr>
        <w:t>2</w:t>
      </w:r>
      <w:r w:rsidRPr="00017503">
        <w:rPr>
          <w:b/>
          <w:bCs/>
          <w:u w:val="single"/>
        </w:rPr>
        <w:t xml:space="preserve">.1 </w:t>
      </w:r>
      <w:r w:rsidRPr="00017503">
        <w:rPr>
          <w:rFonts w:hint="eastAsia"/>
          <w:b/>
          <w:bCs/>
          <w:u w:val="single"/>
        </w:rPr>
        <w:t>グラニュラリティ調整の一般的な</w:t>
      </w:r>
      <w:r w:rsidR="00017503" w:rsidRPr="00017503">
        <w:rPr>
          <w:rFonts w:hint="eastAsia"/>
          <w:b/>
          <w:bCs/>
          <w:u w:val="single"/>
        </w:rPr>
        <w:t>導出</w:t>
      </w:r>
    </w:p>
    <w:p w14:paraId="0FA76FA5" w14:textId="65022CEA" w:rsidR="00017503" w:rsidRDefault="00017503" w:rsidP="00017503"/>
    <w:p w14:paraId="1F820ABE" w14:textId="4E1AB2AA" w:rsidR="003A4BEC" w:rsidRDefault="003A4BEC" w:rsidP="00017503">
      <w:r>
        <w:rPr>
          <w:rFonts w:hint="eastAsia"/>
        </w:rPr>
        <w:t>まずはじめにいくつかの記号を定義する．</w:t>
      </w:r>
    </w:p>
    <w:tbl>
      <w:tblPr>
        <w:tblStyle w:val="af0"/>
        <w:tblW w:w="0" w:type="auto"/>
        <w:tblLook w:val="04A0" w:firstRow="1" w:lastRow="0" w:firstColumn="1" w:lastColumn="0" w:noHBand="0" w:noVBand="1"/>
      </w:tblPr>
      <w:tblGrid>
        <w:gridCol w:w="1696"/>
        <w:gridCol w:w="6798"/>
      </w:tblGrid>
      <w:tr w:rsidR="00017503" w14:paraId="2B41CEFF" w14:textId="77777777" w:rsidTr="00017503">
        <w:tc>
          <w:tcPr>
            <w:tcW w:w="1696" w:type="dxa"/>
          </w:tcPr>
          <w:p w14:paraId="33694D23" w14:textId="69A33E00" w:rsidR="00017503" w:rsidRDefault="00017503" w:rsidP="00017503">
            <m:oMathPara>
              <m:oMath>
                <m:r>
                  <w:rPr>
                    <w:rFonts w:ascii="Cambria Math" w:hAnsi="Cambria Math"/>
                  </w:rPr>
                  <m:t>X</m:t>
                </m:r>
              </m:oMath>
            </m:oMathPara>
          </w:p>
        </w:tc>
        <w:tc>
          <w:tcPr>
            <w:tcW w:w="6798" w:type="dxa"/>
          </w:tcPr>
          <w:p w14:paraId="69C0F9F3" w14:textId="17F768B1" w:rsidR="00017503" w:rsidRDefault="00683518" w:rsidP="00017503">
            <w:r>
              <w:rPr>
                <w:rFonts w:hint="eastAsia"/>
              </w:rPr>
              <w:t>市場</w:t>
            </w:r>
            <w:r w:rsidR="00017503">
              <w:rPr>
                <w:rFonts w:hint="eastAsia"/>
              </w:rPr>
              <w:t>リスク．１次元であると仮定する．</w:t>
            </w:r>
          </w:p>
        </w:tc>
      </w:tr>
      <w:tr w:rsidR="00017503" w14:paraId="45DAC465" w14:textId="77777777" w:rsidTr="00017503">
        <w:tc>
          <w:tcPr>
            <w:tcW w:w="1696" w:type="dxa"/>
          </w:tcPr>
          <w:p w14:paraId="16AEDFCF" w14:textId="3F2A4C26" w:rsidR="00017503" w:rsidRDefault="00017503" w:rsidP="00017503">
            <m:oMathPara>
              <m:oMath>
                <m:r>
                  <w:rPr>
                    <w:rFonts w:ascii="Cambria Math" w:hAnsi="Cambria Math"/>
                  </w:rPr>
                  <w:lastRenderedPageBreak/>
                  <m:t>n</m:t>
                </m:r>
              </m:oMath>
            </m:oMathPara>
          </w:p>
        </w:tc>
        <w:tc>
          <w:tcPr>
            <w:tcW w:w="6798" w:type="dxa"/>
          </w:tcPr>
          <w:p w14:paraId="4DCCD380" w14:textId="4ECB9FD7" w:rsidR="00017503" w:rsidRDefault="00017503" w:rsidP="00017503">
            <w:r>
              <w:rPr>
                <w:rFonts w:hint="eastAsia"/>
              </w:rPr>
              <w:t>ポートフォリオのポジションの数．エクスポージャーの集約を行っていると仮定するため，各ポジションには単一の借り手しかいないと仮定する．</w:t>
            </w:r>
          </w:p>
        </w:tc>
      </w:tr>
      <w:tr w:rsidR="00017503" w14:paraId="43E7A96D" w14:textId="77777777" w:rsidTr="00017503">
        <w:tc>
          <w:tcPr>
            <w:tcW w:w="1696" w:type="dxa"/>
          </w:tcPr>
          <w:p w14:paraId="74AD29EF" w14:textId="3227D4D6" w:rsidR="00017503" w:rsidRPr="003A4BEC" w:rsidRDefault="002B5AAD" w:rsidP="00017503">
            <w:pPr>
              <w:rPr>
                <w:i/>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m:t>
                    </m:r>
                  </m:sub>
                </m:sSub>
                <m:r>
                  <w:rPr>
                    <w:rFonts w:ascii="Cambria Math" w:hAnsi="Cambria Math" w:hint="eastAsia"/>
                  </w:rPr>
                  <m:t xml:space="preserve"> </m:t>
                </m:r>
              </m:oMath>
            </m:oMathPara>
          </w:p>
        </w:tc>
        <w:tc>
          <w:tcPr>
            <w:tcW w:w="6798" w:type="dxa"/>
          </w:tcPr>
          <w:p w14:paraId="322EAE76" w14:textId="2F560D8D" w:rsidR="00017503" w:rsidRDefault="003A4BEC" w:rsidP="00017503">
            <w:r>
              <w:rPr>
                <w:rFonts w:hint="eastAsia"/>
              </w:rPr>
              <w:t>ポジション</w:t>
            </w:r>
            <m:oMath>
              <m:r>
                <w:rPr>
                  <w:rFonts w:ascii="Cambria Math" w:hAnsi="Cambria Math"/>
                </w:rPr>
                <m:t>i</m:t>
              </m:r>
            </m:oMath>
            <w:r>
              <w:rPr>
                <w:rFonts w:hint="eastAsia"/>
              </w:rPr>
              <w:t>の</w:t>
            </w:r>
            <w:r w:rsidRPr="003A4BEC">
              <w:rPr>
                <w:rFonts w:hint="eastAsia"/>
              </w:rPr>
              <w:t>デフォルト時貸出残高</w:t>
            </w:r>
            <w:r>
              <w:rPr>
                <w:rFonts w:hint="eastAsia"/>
              </w:rPr>
              <w:t>．確定的な量であると仮定する．</w:t>
            </w:r>
          </w:p>
        </w:tc>
      </w:tr>
      <w:tr w:rsidR="00017503" w14:paraId="3937638D" w14:textId="77777777" w:rsidTr="00017503">
        <w:tc>
          <w:tcPr>
            <w:tcW w:w="1696" w:type="dxa"/>
          </w:tcPr>
          <w:p w14:paraId="295B9C28" w14:textId="5EA0747E" w:rsidR="00017503" w:rsidRDefault="002B5AAD" w:rsidP="0001750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m:oMathPara>
          </w:p>
        </w:tc>
        <w:tc>
          <w:tcPr>
            <w:tcW w:w="6798" w:type="dxa"/>
          </w:tcPr>
          <w:p w14:paraId="3A82710A" w14:textId="03D6EE9A" w:rsidR="003A4BEC" w:rsidRDefault="003A4BEC" w:rsidP="00017503">
            <w:r>
              <w:rPr>
                <w:rFonts w:hint="eastAsia"/>
              </w:rPr>
              <w:t>ポジション</w:t>
            </w:r>
            <m:oMath>
              <m:r>
                <w:rPr>
                  <w:rFonts w:ascii="Cambria Math" w:hAnsi="Cambria Math"/>
                </w:rPr>
                <m:t>i</m:t>
              </m:r>
            </m:oMath>
            <w:r>
              <w:rPr>
                <w:rFonts w:hint="eastAsia"/>
              </w:rPr>
              <w:t>の損失率（デフォルトによる損失/</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）．確率的な量であるとする．</w:t>
            </w:r>
          </w:p>
        </w:tc>
      </w:tr>
      <w:tr w:rsidR="00017503" w14:paraId="5D6B8C0E" w14:textId="77777777" w:rsidTr="00017503">
        <w:tc>
          <w:tcPr>
            <w:tcW w:w="1696" w:type="dxa"/>
          </w:tcPr>
          <w:p w14:paraId="1CF2E6AD" w14:textId="1EBB631E" w:rsidR="00017503" w:rsidRDefault="002B5AAD" w:rsidP="00017503">
            <m:oMathPara>
              <m:oMath>
                <m:sSub>
                  <m:sSubPr>
                    <m:ctrlPr>
                      <w:rPr>
                        <w:rFonts w:ascii="Cambria Math" w:hAnsi="Cambria Math"/>
                        <w:i/>
                      </w:rPr>
                    </m:ctrlPr>
                  </m:sSubPr>
                  <m:e>
                    <m:r>
                      <w:rPr>
                        <w:rFonts w:ascii="Cambria Math" w:hAnsi="Cambria Math"/>
                      </w:rPr>
                      <m:t>L</m:t>
                    </m:r>
                  </m:e>
                  <m:sub>
                    <m:r>
                      <w:rPr>
                        <w:rFonts w:ascii="Cambria Math" w:hAnsi="Cambria Math"/>
                      </w:rPr>
                      <m:t>n</m:t>
                    </m:r>
                  </m:sub>
                </m:sSub>
              </m:oMath>
            </m:oMathPara>
          </w:p>
        </w:tc>
        <w:tc>
          <w:tcPr>
            <w:tcW w:w="6798" w:type="dxa"/>
          </w:tcPr>
          <w:p w14:paraId="2D883525" w14:textId="4AB0D594" w:rsidR="00017503" w:rsidRPr="003A4BEC" w:rsidRDefault="003A4BEC" w:rsidP="00017503">
            <w:r>
              <w:rPr>
                <w:rFonts w:hint="eastAsia"/>
              </w:rPr>
              <w:t>ポートフォリオの損失率</w:t>
            </w:r>
          </w:p>
        </w:tc>
      </w:tr>
      <w:tr w:rsidR="00683518" w14:paraId="45CBD3B7" w14:textId="77777777" w:rsidTr="00017503">
        <w:tc>
          <w:tcPr>
            <w:tcW w:w="1696" w:type="dxa"/>
          </w:tcPr>
          <w:p w14:paraId="7F5BB3B9" w14:textId="659B091C" w:rsidR="00683518" w:rsidRPr="00683518" w:rsidRDefault="002B5AAD" w:rsidP="00017503">
            <w:pPr>
              <w:rPr>
                <w:rFonts w:ascii="游明朝" w:eastAsia="游明朝" w:hAnsi="游明朝" w:cs="Times New Roman"/>
                <w:i/>
              </w:rPr>
            </w:pPr>
            <m:oMathPara>
              <m:oMath>
                <m:sSub>
                  <m:sSubPr>
                    <m:ctrlPr>
                      <w:rPr>
                        <w:rFonts w:ascii="Cambria Math" w:eastAsia="游明朝" w:hAnsi="Cambria Math" w:cs="Times New Roman"/>
                        <w:i/>
                      </w:rPr>
                    </m:ctrlPr>
                  </m:sSubPr>
                  <m:e>
                    <m:r>
                      <w:rPr>
                        <w:rFonts w:ascii="Cambria Math" w:eastAsia="游明朝" w:hAnsi="Cambria Math" w:cs="Times New Roman"/>
                      </w:rPr>
                      <m:t>α</m:t>
                    </m:r>
                  </m:e>
                  <m:sub>
                    <m:r>
                      <w:rPr>
                        <w:rFonts w:ascii="Cambria Math" w:eastAsia="游明朝" w:hAnsi="Cambria Math" w:cs="Times New Roman"/>
                      </w:rPr>
                      <m:t>q</m:t>
                    </m:r>
                  </m:sub>
                </m:sSub>
                <m:d>
                  <m:dPr>
                    <m:ctrlPr>
                      <w:rPr>
                        <w:rFonts w:ascii="Cambria Math" w:eastAsia="游明朝" w:hAnsi="Cambria Math" w:cs="Times New Roman"/>
                        <w:i/>
                      </w:rPr>
                    </m:ctrlPr>
                  </m:dPr>
                  <m:e>
                    <m:r>
                      <w:rPr>
                        <w:rFonts w:ascii="Cambria Math" w:eastAsia="游明朝" w:hAnsi="Cambria Math" w:cs="Times New Roman"/>
                      </w:rPr>
                      <m:t>Y</m:t>
                    </m:r>
                  </m:e>
                </m:d>
              </m:oMath>
            </m:oMathPara>
          </w:p>
        </w:tc>
        <w:tc>
          <w:tcPr>
            <w:tcW w:w="6798" w:type="dxa"/>
          </w:tcPr>
          <w:p w14:paraId="7C0ACF9E" w14:textId="5F3335B6" w:rsidR="00683518" w:rsidRPr="00683518" w:rsidRDefault="00683518" w:rsidP="00017503">
            <w:pPr>
              <w:rPr>
                <w:i/>
              </w:rPr>
            </w:pPr>
            <w:r>
              <w:rPr>
                <w:rFonts w:hint="eastAsia"/>
              </w:rPr>
              <w:t>確率変数</w:t>
            </w:r>
            <m:oMath>
              <m:r>
                <w:rPr>
                  <w:rFonts w:ascii="Cambria Math" w:hAnsi="Cambria Math"/>
                </w:rPr>
                <m:t>Y</m:t>
              </m:r>
            </m:oMath>
            <w:r>
              <w:rPr>
                <w:rFonts w:hint="eastAsia"/>
              </w:rPr>
              <w:t>の</w:t>
            </w:r>
            <m:oMath>
              <m:r>
                <w:rPr>
                  <w:rFonts w:ascii="Cambria Math" w:hAnsi="Cambria Math"/>
                </w:rPr>
                <m:t>q</m:t>
              </m:r>
            </m:oMath>
            <w:r>
              <w:rPr>
                <w:rFonts w:hint="eastAsia"/>
              </w:rPr>
              <w:t>パーセンタイル．</w:t>
            </w:r>
          </w:p>
        </w:tc>
      </w:tr>
    </w:tbl>
    <w:p w14:paraId="4A52BF9C" w14:textId="715D184B" w:rsidR="00017503" w:rsidRDefault="00017503" w:rsidP="00017503"/>
    <w:p w14:paraId="1B79F3BA" w14:textId="457330E1" w:rsidR="003A4BEC" w:rsidRDefault="002B5AAD" w:rsidP="00017503">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3A4BEC">
        <w:rPr>
          <w:rFonts w:hint="eastAsia"/>
        </w:rPr>
        <w:t>は定義より以下の算式で算出できる．</w:t>
      </w:r>
    </w:p>
    <w:p w14:paraId="0A062AF2" w14:textId="6F26F97C" w:rsidR="003A4BEC" w:rsidRPr="003A4BEC" w:rsidRDefault="002B5AAD" w:rsidP="00017503">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e>
          </m:nary>
        </m:oMath>
      </m:oMathPara>
    </w:p>
    <w:p w14:paraId="453DEA68" w14:textId="0864B412" w:rsidR="003A4BEC" w:rsidRDefault="003A4BEC" w:rsidP="00017503">
      <w:pPr>
        <w:rPr>
          <w:iCs/>
        </w:rPr>
      </w:pPr>
      <w:r>
        <w:rPr>
          <w:rFonts w:hint="eastAsia"/>
        </w:rPr>
        <w:t>ただし，</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e>
        </m:nary>
      </m:oMath>
      <w:r>
        <w:rPr>
          <w:rFonts w:hint="eastAsia"/>
        </w:rPr>
        <w:t>とする．また，期待損失</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E</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L</m:t>
                </m:r>
              </m:e>
              <m:sub>
                <m:r>
                  <w:rPr>
                    <w:rFonts w:ascii="Cambria Math" w:hAnsi="Cambria Math"/>
                  </w:rPr>
                  <m:t>n</m:t>
                </m:r>
              </m:sub>
            </m:sSub>
            <m:d>
              <m:dPr>
                <m:begChr m:val="|"/>
                <m:endChr m:val=""/>
                <m:ctrlPr>
                  <w:rPr>
                    <w:rFonts w:ascii="Cambria Math" w:hAnsi="Cambria Math"/>
                    <w:i/>
                    <w:iCs/>
                  </w:rPr>
                </m:ctrlPr>
              </m:dPr>
              <m:e>
                <m:r>
                  <w:rPr>
                    <w:rFonts w:ascii="Cambria Math" w:hAnsi="Cambria Math"/>
                  </w:rPr>
                  <m:t>X=x</m:t>
                </m:r>
              </m:e>
            </m:d>
          </m:e>
        </m:d>
      </m:oMath>
      <w:r>
        <w:rPr>
          <w:rFonts w:hint="eastAsia"/>
          <w:iCs/>
        </w:rPr>
        <w:t>は</w:t>
      </w:r>
      <m:oMath>
        <m:r>
          <w:rPr>
            <w:rFonts w:ascii="Cambria Math" w:hAnsi="Cambria Math"/>
          </w:rPr>
          <m:t>x</m:t>
        </m:r>
      </m:oMath>
      <w:r>
        <w:rPr>
          <w:rFonts w:hint="eastAsia"/>
          <w:iCs/>
        </w:rPr>
        <w:t>の増加関数であるとする．</w:t>
      </w:r>
    </w:p>
    <w:p w14:paraId="1A5CB975" w14:textId="303B10DE" w:rsidR="00683518" w:rsidRDefault="00683518" w:rsidP="00017503">
      <w:pPr>
        <w:rPr>
          <w:iCs/>
        </w:rPr>
      </w:pPr>
    </w:p>
    <w:p w14:paraId="452BC8DB" w14:textId="6306864C" w:rsidR="00683518" w:rsidRDefault="00683518" w:rsidP="00017503">
      <w:pPr>
        <w:rPr>
          <w:iCs/>
        </w:rPr>
      </w:pPr>
      <w:r>
        <w:rPr>
          <w:rFonts w:hint="eastAsia"/>
          <w:iCs/>
        </w:rPr>
        <w:t>適切な条件の下ではポジション数</w:t>
      </w:r>
      <m:oMath>
        <m:r>
          <w:rPr>
            <w:rFonts w:ascii="Cambria Math" w:hAnsi="Cambria Math"/>
          </w:rPr>
          <m:t>n</m:t>
        </m:r>
      </m:oMath>
      <w:r>
        <w:rPr>
          <w:rFonts w:hint="eastAsia"/>
          <w:iCs/>
        </w:rPr>
        <w:t>が増加するにつれ，以下のようになる．</w:t>
      </w:r>
    </w:p>
    <w:p w14:paraId="0C5AECF3" w14:textId="2B985544" w:rsidR="00683518" w:rsidRPr="00683518" w:rsidRDefault="002B5AAD" w:rsidP="00017503">
      <w:pP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α</m:t>
                  </m:r>
                </m:e>
                <m:sub>
                  <m:r>
                    <w:rPr>
                      <w:rFonts w:ascii="Cambria Math" w:hAnsi="Cambria Math"/>
                    </w:rPr>
                    <m:t>q</m:t>
                  </m:r>
                </m:sub>
              </m:sSub>
              <m:d>
                <m:dPr>
                  <m:ctrlPr>
                    <w:rPr>
                      <w:rFonts w:ascii="Cambria Math" w:hAnsi="Cambria Math"/>
                      <w:i/>
                      <w:iCs/>
                    </w:rPr>
                  </m:ctrlPr>
                </m:dPr>
                <m:e>
                  <m:sSub>
                    <m:sSubPr>
                      <m:ctrlPr>
                        <w:rPr>
                          <w:rFonts w:ascii="Cambria Math" w:hAnsi="Cambria Math"/>
                          <w:i/>
                          <w:iCs/>
                        </w:rPr>
                      </m:ctrlPr>
                    </m:sSubPr>
                    <m:e>
                      <m:r>
                        <w:rPr>
                          <w:rFonts w:ascii="Cambria Math" w:hAnsi="Cambria Math"/>
                        </w:rPr>
                        <m:t>L</m:t>
                      </m:r>
                    </m:e>
                    <m:sub>
                      <m:r>
                        <w:rPr>
                          <w:rFonts w:ascii="Cambria Math" w:hAnsi="Cambria Math"/>
                        </w:rPr>
                        <m:t>n</m:t>
                      </m:r>
                    </m:sub>
                  </m:sSub>
                </m:e>
              </m:d>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L</m:t>
                      </m:r>
                    </m:e>
                    <m:sub>
                      <m:r>
                        <w:rPr>
                          <w:rFonts w:ascii="Cambria Math" w:hAnsi="Cambria Math"/>
                        </w:rPr>
                        <m:t>n</m:t>
                      </m:r>
                    </m:sub>
                  </m:sSub>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α</m:t>
                          </m:r>
                        </m:e>
                        <m:sub>
                          <m:r>
                            <w:rPr>
                              <w:rFonts w:ascii="Cambria Math" w:hAnsi="Cambria Math"/>
                            </w:rPr>
                            <m:t>q</m:t>
                          </m:r>
                        </m:sub>
                      </m:sSub>
                      <m:d>
                        <m:dPr>
                          <m:ctrlPr>
                            <w:rPr>
                              <w:rFonts w:ascii="Cambria Math" w:hAnsi="Cambria Math"/>
                              <w:i/>
                              <w:iCs/>
                            </w:rPr>
                          </m:ctrlPr>
                        </m:dPr>
                        <m:e>
                          <m:r>
                            <w:rPr>
                              <w:rFonts w:ascii="Cambria Math" w:hAnsi="Cambria Math"/>
                            </w:rPr>
                            <m:t>X</m:t>
                          </m:r>
                        </m:e>
                      </m:d>
                    </m:e>
                  </m:d>
                </m:e>
              </m:d>
            </m:e>
          </m:d>
          <m:r>
            <w:rPr>
              <w:rFonts w:ascii="Cambria Math" w:hAnsi="Cambria Math"/>
            </w:rPr>
            <m:t>→0</m:t>
          </m:r>
        </m:oMath>
      </m:oMathPara>
    </w:p>
    <w:p w14:paraId="0E0BE913" w14:textId="3AD444B7" w:rsidR="00683518" w:rsidRDefault="00683518" w:rsidP="00017503">
      <w:pPr>
        <w:rPr>
          <w:iCs/>
        </w:rPr>
      </w:pPr>
      <w:r>
        <w:rPr>
          <w:rFonts w:hint="eastAsia"/>
          <w:iCs/>
        </w:rPr>
        <w:t>この差分は固有リスクに起因する．以降では左辺の絶対値の中身についてテーラー展開を行うことで評価する．</w:t>
      </w:r>
    </w:p>
    <w:p w14:paraId="7C5CE8B5" w14:textId="13586BDB" w:rsidR="00683518" w:rsidRDefault="00683518" w:rsidP="00017503">
      <w:pPr>
        <w:rPr>
          <w:iCs/>
        </w:rPr>
      </w:pPr>
    </w:p>
    <w:tbl>
      <w:tblPr>
        <w:tblStyle w:val="af0"/>
        <w:tblW w:w="0" w:type="auto"/>
        <w:tblLook w:val="04A0" w:firstRow="1" w:lastRow="0" w:firstColumn="1" w:lastColumn="0" w:noHBand="0" w:noVBand="1"/>
      </w:tblPr>
      <w:tblGrid>
        <w:gridCol w:w="1129"/>
        <w:gridCol w:w="7365"/>
      </w:tblGrid>
      <w:tr w:rsidR="003354E7" w14:paraId="1F69F553" w14:textId="77777777" w:rsidTr="003354E7">
        <w:tc>
          <w:tcPr>
            <w:tcW w:w="1129" w:type="dxa"/>
          </w:tcPr>
          <w:p w14:paraId="2CFACACD" w14:textId="65764001" w:rsidR="003354E7" w:rsidRPr="003354E7" w:rsidRDefault="003354E7" w:rsidP="00017503">
            <w:pPr>
              <w:rPr>
                <w:i/>
                <w:iCs/>
              </w:rPr>
            </w:pPr>
            <m:oMathPara>
              <m:oMath>
                <m:r>
                  <w:rPr>
                    <w:rFonts w:ascii="Cambria Math" w:hAnsi="Cambria Math"/>
                  </w:rPr>
                  <m:t>Y</m:t>
                </m:r>
              </m:oMath>
            </m:oMathPara>
          </w:p>
        </w:tc>
        <w:tc>
          <w:tcPr>
            <w:tcW w:w="7365" w:type="dxa"/>
          </w:tcPr>
          <w:p w14:paraId="2C42F2D1" w14:textId="3F75D5BF" w:rsidR="003354E7" w:rsidRDefault="003354E7" w:rsidP="00017503">
            <w:pPr>
              <w:rPr>
                <w:iCs/>
              </w:rPr>
            </w:pPr>
            <w:r>
              <w:rPr>
                <w:rFonts w:hint="eastAsia"/>
                <w:iCs/>
              </w:rPr>
              <w:t>確率密度関数が</w:t>
            </w:r>
            <m:oMath>
              <m:r>
                <w:rPr>
                  <w:rFonts w:ascii="Cambria Math" w:hAnsi="Cambria Math"/>
                </w:rPr>
                <m:t>f</m:t>
              </m:r>
              <m:d>
                <m:dPr>
                  <m:ctrlPr>
                    <w:rPr>
                      <w:rFonts w:ascii="Cambria Math" w:hAnsi="Cambria Math"/>
                      <w:i/>
                      <w:iCs/>
                    </w:rPr>
                  </m:ctrlPr>
                </m:dPr>
                <m:e>
                  <m:r>
                    <w:rPr>
                      <w:rFonts w:ascii="Cambria Math" w:hAnsi="Cambria Math"/>
                    </w:rPr>
                    <m:t>y</m:t>
                  </m:r>
                </m:e>
              </m:d>
            </m:oMath>
            <w:r>
              <w:rPr>
                <w:rFonts w:hint="eastAsia"/>
                <w:iCs/>
              </w:rPr>
              <w:t>で表される確率変数</w:t>
            </w:r>
          </w:p>
        </w:tc>
      </w:tr>
      <w:tr w:rsidR="003354E7" w14:paraId="60B920A1" w14:textId="77777777" w:rsidTr="003354E7">
        <w:tc>
          <w:tcPr>
            <w:tcW w:w="1129" w:type="dxa"/>
          </w:tcPr>
          <w:p w14:paraId="3EF529E0" w14:textId="73C7F1E5" w:rsidR="003354E7" w:rsidRDefault="003354E7" w:rsidP="00017503">
            <w:pPr>
              <w:rPr>
                <w:iCs/>
              </w:rPr>
            </w:pPr>
            <m:oMathPara>
              <m:oMath>
                <m:r>
                  <w:rPr>
                    <w:rFonts w:ascii="Cambria Math" w:hAnsi="Cambria Math"/>
                  </w:rPr>
                  <m:t>Z</m:t>
                </m:r>
              </m:oMath>
            </m:oMathPara>
          </w:p>
        </w:tc>
        <w:tc>
          <w:tcPr>
            <w:tcW w:w="7365" w:type="dxa"/>
          </w:tcPr>
          <w:p w14:paraId="5E543D1B" w14:textId="363B316D" w:rsidR="003354E7" w:rsidRDefault="003354E7" w:rsidP="00017503">
            <w:pPr>
              <w:rPr>
                <w:iCs/>
              </w:rPr>
            </w:pPr>
            <w:r>
              <w:rPr>
                <w:rFonts w:hint="eastAsia"/>
                <w:iCs/>
              </w:rPr>
              <w:t>確率密度関数が</w:t>
            </w:r>
            <m:oMath>
              <m:r>
                <w:rPr>
                  <w:rFonts w:ascii="Cambria Math" w:hAnsi="Cambria Math"/>
                </w:rPr>
                <m:t>g</m:t>
              </m:r>
              <m:d>
                <m:dPr>
                  <m:ctrlPr>
                    <w:rPr>
                      <w:rFonts w:ascii="Cambria Math" w:hAnsi="Cambria Math"/>
                      <w:i/>
                      <w:iCs/>
                    </w:rPr>
                  </m:ctrlPr>
                </m:dPr>
                <m:e>
                  <m:r>
                    <w:rPr>
                      <w:rFonts w:ascii="Cambria Math" w:hAnsi="Cambria Math"/>
                    </w:rPr>
                    <m:t>z|y</m:t>
                  </m:r>
                </m:e>
              </m:d>
            </m:oMath>
            <w:r>
              <w:rPr>
                <w:rFonts w:hint="eastAsia"/>
                <w:iCs/>
              </w:rPr>
              <w:t>で表される確率変数</w:t>
            </w:r>
          </w:p>
        </w:tc>
      </w:tr>
    </w:tbl>
    <w:p w14:paraId="422E6D07" w14:textId="17E3F70B" w:rsidR="00683518" w:rsidRDefault="00683518" w:rsidP="00017503">
      <w:pPr>
        <w:rPr>
          <w:iCs/>
        </w:rPr>
      </w:pPr>
    </w:p>
    <w:p w14:paraId="1F892FAC" w14:textId="571F27FB" w:rsidR="003354E7" w:rsidRDefault="003354E7" w:rsidP="00017503">
      <w:pPr>
        <w:rPr>
          <w:iCs/>
        </w:rPr>
      </w:pPr>
      <w:r>
        <w:rPr>
          <w:rFonts w:hint="eastAsia"/>
          <w:iCs/>
        </w:rPr>
        <w:t>確率変数</w:t>
      </w:r>
      <m:oMath>
        <m:r>
          <w:rPr>
            <w:rFonts w:ascii="Cambria Math" w:hAnsi="Cambria Math"/>
          </w:rPr>
          <m:t>W</m:t>
        </m:r>
      </m:oMath>
      <w:r>
        <w:rPr>
          <w:rFonts w:hint="eastAsia"/>
          <w:iCs/>
        </w:rPr>
        <w:t>を</w:t>
      </w:r>
      <m:oMath>
        <m:r>
          <w:rPr>
            <w:rFonts w:ascii="Cambria Math" w:hAnsi="Cambria Math"/>
          </w:rPr>
          <m:t>W=Y+Z</m:t>
        </m:r>
      </m:oMath>
      <w:r>
        <w:rPr>
          <w:rFonts w:hint="eastAsia"/>
          <w:iCs/>
        </w:rPr>
        <w:t>とすると，Ｗの確率密度関数は畳み込みになる．</w:t>
      </w:r>
    </w:p>
    <w:p w14:paraId="614DAF5C" w14:textId="26B851B3" w:rsidR="003354E7" w:rsidRDefault="00A2567D" w:rsidP="00A2567D">
      <w:pPr>
        <w:jc w:val="center"/>
        <w:rPr>
          <w:iCs/>
        </w:rPr>
      </w:pPr>
      <w:r>
        <w:rPr>
          <w:noProof/>
        </w:rPr>
        <w:drawing>
          <wp:inline distT="0" distB="0" distL="0" distR="0" wp14:anchorId="08230D95" wp14:editId="43CCC088">
            <wp:extent cx="2188210" cy="328930"/>
            <wp:effectExtent l="0" t="0" r="2540" b="0"/>
            <wp:docPr id="58752" name="Picture 58752" descr="図形&#10;&#10;中程度の精度で自動的に生成された説明"/>
            <wp:cNvGraphicFramePr/>
            <a:graphic xmlns:a="http://schemas.openxmlformats.org/drawingml/2006/main">
              <a:graphicData uri="http://schemas.openxmlformats.org/drawingml/2006/picture">
                <pic:pic xmlns:pic="http://schemas.openxmlformats.org/drawingml/2006/picture">
                  <pic:nvPicPr>
                    <pic:cNvPr id="58752" name="Picture 58752" descr="図形&#10;&#10;中程度の精度で自動的に生成された説明"/>
                    <pic:cNvPicPr/>
                  </pic:nvPicPr>
                  <pic:blipFill>
                    <a:blip r:embed="rId8"/>
                    <a:stretch>
                      <a:fillRect/>
                    </a:stretch>
                  </pic:blipFill>
                  <pic:spPr>
                    <a:xfrm>
                      <a:off x="0" y="0"/>
                      <a:ext cx="2188210" cy="328930"/>
                    </a:xfrm>
                    <a:prstGeom prst="rect">
                      <a:avLst/>
                    </a:prstGeom>
                  </pic:spPr>
                </pic:pic>
              </a:graphicData>
            </a:graphic>
          </wp:inline>
        </w:drawing>
      </w:r>
    </w:p>
    <w:p w14:paraId="4BA03FA1" w14:textId="3C5995BF" w:rsidR="003354E7" w:rsidRDefault="003354E7" w:rsidP="00017503">
      <w:pPr>
        <w:rPr>
          <w:iCs/>
        </w:rPr>
      </w:pPr>
      <w:r>
        <w:rPr>
          <w:rFonts w:hint="eastAsia"/>
          <w:iCs/>
        </w:rPr>
        <w:t>被積分関数をテーラー展開すると以下のようになる．</w:t>
      </w:r>
    </w:p>
    <w:p w14:paraId="53D2A41E" w14:textId="75819C08" w:rsidR="003354E7" w:rsidRDefault="00A2567D" w:rsidP="00A2567D">
      <w:pPr>
        <w:jc w:val="center"/>
        <w:rPr>
          <w:iCs/>
        </w:rPr>
      </w:pPr>
      <w:r>
        <w:rPr>
          <w:noProof/>
        </w:rPr>
        <w:drawing>
          <wp:inline distT="0" distB="0" distL="0" distR="0" wp14:anchorId="084BD23A" wp14:editId="5FCC9D29">
            <wp:extent cx="4032250" cy="871220"/>
            <wp:effectExtent l="0" t="0" r="6350" b="5080"/>
            <wp:docPr id="58753" name="Picture 58753" descr="図形&#10;&#10;中程度の精度で自動的に生成された説明"/>
            <wp:cNvGraphicFramePr/>
            <a:graphic xmlns:a="http://schemas.openxmlformats.org/drawingml/2006/main">
              <a:graphicData uri="http://schemas.openxmlformats.org/drawingml/2006/picture">
                <pic:pic xmlns:pic="http://schemas.openxmlformats.org/drawingml/2006/picture">
                  <pic:nvPicPr>
                    <pic:cNvPr id="58753" name="Picture 58753" descr="図形&#10;&#10;中程度の精度で自動的に生成された説明"/>
                    <pic:cNvPicPr/>
                  </pic:nvPicPr>
                  <pic:blipFill>
                    <a:blip r:embed="rId9"/>
                    <a:stretch>
                      <a:fillRect/>
                    </a:stretch>
                  </pic:blipFill>
                  <pic:spPr>
                    <a:xfrm>
                      <a:off x="0" y="0"/>
                      <a:ext cx="4032250" cy="871220"/>
                    </a:xfrm>
                    <a:prstGeom prst="rect">
                      <a:avLst/>
                    </a:prstGeom>
                  </pic:spPr>
                </pic:pic>
              </a:graphicData>
            </a:graphic>
          </wp:inline>
        </w:drawing>
      </w:r>
    </w:p>
    <w:p w14:paraId="31A10FFB" w14:textId="3FFA1F88" w:rsidR="003354E7" w:rsidRDefault="003354E7" w:rsidP="00017503">
      <w:pPr>
        <w:rPr>
          <w:iCs/>
        </w:rPr>
      </w:pPr>
      <w:r>
        <w:rPr>
          <w:rFonts w:hint="eastAsia"/>
          <w:iCs/>
        </w:rPr>
        <w:t>さらにフビニの定理を使うことで以下の式が導出できる．</w:t>
      </w:r>
    </w:p>
    <w:p w14:paraId="79988057" w14:textId="00CBCAA3" w:rsidR="003354E7" w:rsidRDefault="00A2567D" w:rsidP="00A2567D">
      <w:pPr>
        <w:jc w:val="center"/>
        <w:rPr>
          <w:iCs/>
        </w:rPr>
      </w:pPr>
      <w:r>
        <w:rPr>
          <w:noProof/>
        </w:rPr>
        <w:drawing>
          <wp:inline distT="0" distB="0" distL="0" distR="0" wp14:anchorId="25296D1D" wp14:editId="414BB738">
            <wp:extent cx="4059555" cy="566420"/>
            <wp:effectExtent l="0" t="0" r="0" b="5080"/>
            <wp:docPr id="58754" name="Picture 58754" descr="図形&#10;&#10;中程度の精度で自動的に生成された説明"/>
            <wp:cNvGraphicFramePr/>
            <a:graphic xmlns:a="http://schemas.openxmlformats.org/drawingml/2006/main">
              <a:graphicData uri="http://schemas.openxmlformats.org/drawingml/2006/picture">
                <pic:pic xmlns:pic="http://schemas.openxmlformats.org/drawingml/2006/picture">
                  <pic:nvPicPr>
                    <pic:cNvPr id="58754" name="Picture 58754" descr="図形&#10;&#10;中程度の精度で自動的に生成された説明"/>
                    <pic:cNvPicPr/>
                  </pic:nvPicPr>
                  <pic:blipFill>
                    <a:blip r:embed="rId10"/>
                    <a:stretch>
                      <a:fillRect/>
                    </a:stretch>
                  </pic:blipFill>
                  <pic:spPr>
                    <a:xfrm>
                      <a:off x="0" y="0"/>
                      <a:ext cx="4059555" cy="566420"/>
                    </a:xfrm>
                    <a:prstGeom prst="rect">
                      <a:avLst/>
                    </a:prstGeom>
                  </pic:spPr>
                </pic:pic>
              </a:graphicData>
            </a:graphic>
          </wp:inline>
        </w:drawing>
      </w:r>
    </w:p>
    <w:p w14:paraId="5F78C46D" w14:textId="37147040" w:rsidR="003354E7" w:rsidRDefault="003354E7" w:rsidP="00017503">
      <w:pPr>
        <w:rPr>
          <w:iCs/>
        </w:rPr>
      </w:pPr>
    </w:p>
    <w:p w14:paraId="26231B3F" w14:textId="66BC7D52" w:rsidR="003354E7" w:rsidRDefault="002B5AAD" w:rsidP="00017503">
      <w:pPr>
        <w:rPr>
          <w:iCs/>
        </w:rPr>
      </w:pPr>
      <m:oMath>
        <m:sSub>
          <m:sSubPr>
            <m:ctrlPr>
              <w:rPr>
                <w:rFonts w:ascii="Cambria Math" w:hAnsi="Cambria Math"/>
                <w:i/>
                <w:iCs/>
              </w:rPr>
            </m:ctrlPr>
          </m:sSubPr>
          <m:e>
            <m:r>
              <w:rPr>
                <w:rFonts w:ascii="Cambria Math" w:hAnsi="Cambria Math"/>
              </w:rPr>
              <m:t>m</m:t>
            </m:r>
          </m:e>
          <m:sub>
            <m:r>
              <w:rPr>
                <w:rFonts w:ascii="Cambria Math" w:hAnsi="Cambria Math"/>
              </w:rPr>
              <m:t>i</m:t>
            </m:r>
          </m:sub>
        </m:sSub>
        <m:d>
          <m:dPr>
            <m:ctrlPr>
              <w:rPr>
                <w:rFonts w:ascii="Cambria Math" w:hAnsi="Cambria Math"/>
                <w:i/>
                <w:iCs/>
              </w:rPr>
            </m:ctrlPr>
          </m:dPr>
          <m:e>
            <m:r>
              <w:rPr>
                <w:rFonts w:ascii="Cambria Math" w:hAnsi="Cambria Math"/>
              </w:rPr>
              <m:t>w</m:t>
            </m:r>
          </m:e>
        </m:d>
      </m:oMath>
      <w:r w:rsidR="003354E7">
        <w:rPr>
          <w:rFonts w:hint="eastAsia"/>
          <w:iCs/>
        </w:rPr>
        <w:t>を</w:t>
      </w:r>
      <m:oMath>
        <m:r>
          <w:rPr>
            <w:rFonts w:ascii="Cambria Math" w:hAnsi="Cambria Math"/>
          </w:rPr>
          <m:t>Z</m:t>
        </m:r>
      </m:oMath>
      <w:r w:rsidR="003354E7">
        <w:rPr>
          <w:rFonts w:hint="eastAsia"/>
          <w:iCs/>
        </w:rPr>
        <w:t>の</w:t>
      </w:r>
      <m:oMath>
        <m:r>
          <w:rPr>
            <w:rFonts w:ascii="Cambria Math" w:hAnsi="Cambria Math"/>
          </w:rPr>
          <m:t>i</m:t>
        </m:r>
      </m:oMath>
      <w:r w:rsidR="003354E7">
        <w:rPr>
          <w:rFonts w:hint="eastAsia"/>
          <w:iCs/>
        </w:rPr>
        <w:t>番目のモーメントである</w:t>
      </w:r>
      <w:r w:rsidR="00193C87">
        <w:rPr>
          <w:rFonts w:hint="eastAsia"/>
          <w:iCs/>
        </w:rPr>
        <w:t>とする．</w:t>
      </w:r>
    </w:p>
    <w:p w14:paraId="68209E16" w14:textId="73091E7E" w:rsidR="00193C87" w:rsidRPr="00BA1F2C" w:rsidRDefault="002B5AAD" w:rsidP="00017503">
      <w:pPr>
        <w:rPr>
          <w:i/>
          <w:iCs/>
        </w:rPr>
      </w:pPr>
      <m:oMathPara>
        <m:oMath>
          <m:sSub>
            <m:sSubPr>
              <m:ctrlPr>
                <w:rPr>
                  <w:rFonts w:ascii="Cambria Math" w:hAnsi="Cambria Math"/>
                  <w:i/>
                  <w:iCs/>
                </w:rPr>
              </m:ctrlPr>
            </m:sSubPr>
            <m:e>
              <m:r>
                <w:rPr>
                  <w:rFonts w:ascii="Cambria Math" w:hAnsi="Cambria Math"/>
                </w:rPr>
                <m:t>m</m:t>
              </m:r>
            </m:e>
            <m:sub>
              <m:r>
                <w:rPr>
                  <w:rFonts w:ascii="Cambria Math" w:hAnsi="Cambria Math"/>
                </w:rPr>
                <m:t>i</m:t>
              </m:r>
            </m:sub>
          </m:sSub>
          <m:d>
            <m:dPr>
              <m:ctrlPr>
                <w:rPr>
                  <w:rFonts w:ascii="Cambria Math" w:hAnsi="Cambria Math"/>
                  <w:i/>
                  <w:iCs/>
                </w:rPr>
              </m:ctrlPr>
            </m:dPr>
            <m:e>
              <m:r>
                <w:rPr>
                  <w:rFonts w:ascii="Cambria Math" w:hAnsi="Cambria Math"/>
                </w:rPr>
                <m:t>w</m:t>
              </m:r>
            </m:e>
          </m:d>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i</m:t>
                  </m:r>
                </m:sup>
              </m:sSup>
              <m:r>
                <w:rPr>
                  <w:rFonts w:ascii="Cambria Math" w:hAnsi="Cambria Math"/>
                </w:rPr>
                <m:t>|Y=w</m:t>
              </m:r>
            </m:e>
          </m:d>
          <m:r>
            <w:rPr>
              <w:rFonts w:ascii="Cambria Math" w:hAnsi="Cambria Math"/>
            </w:rPr>
            <m:t>=</m:t>
          </m:r>
          <m:nary>
            <m:naryPr>
              <m:ctrlPr>
                <w:rPr>
                  <w:rFonts w:ascii="Cambria Math" w:hAnsi="Cambria Math"/>
                  <w:i/>
                  <w:iCs/>
                </w:rPr>
              </m:ctrlPr>
            </m:naryPr>
            <m:sub>
              <m:r>
                <w:rPr>
                  <w:rFonts w:ascii="Cambria Math" w:hAnsi="Cambria Math"/>
                </w:rPr>
                <m:t>∞</m:t>
              </m:r>
            </m:sub>
            <m:sup>
              <m:r>
                <w:rPr>
                  <w:rFonts w:ascii="Cambria Math" w:hAnsi="Cambria Math"/>
                </w:rPr>
                <m:t>∞</m:t>
              </m:r>
            </m:sup>
            <m:e>
              <m:sSup>
                <m:sSupPr>
                  <m:ctrlPr>
                    <w:rPr>
                      <w:rFonts w:ascii="Cambria Math" w:hAnsi="Cambria Math"/>
                      <w:i/>
                      <w:iCs/>
                    </w:rPr>
                  </m:ctrlPr>
                </m:sSupPr>
                <m:e>
                  <m:r>
                    <w:rPr>
                      <w:rFonts w:ascii="Cambria Math" w:hAnsi="Cambria Math"/>
                    </w:rPr>
                    <m:t>z</m:t>
                  </m:r>
                </m:e>
                <m:sup>
                  <m:r>
                    <w:rPr>
                      <w:rFonts w:ascii="Cambria Math" w:hAnsi="Cambria Math"/>
                    </w:rPr>
                    <m:t>i</m:t>
                  </m:r>
                </m:sup>
              </m:sSup>
              <m:r>
                <w:rPr>
                  <w:rFonts w:ascii="Cambria Math" w:hAnsi="Cambria Math"/>
                </w:rPr>
                <m:t>g</m:t>
              </m:r>
              <m:d>
                <m:dPr>
                  <m:ctrlPr>
                    <w:rPr>
                      <w:rFonts w:ascii="Cambria Math" w:hAnsi="Cambria Math"/>
                      <w:i/>
                      <w:iCs/>
                    </w:rPr>
                  </m:ctrlPr>
                </m:dPr>
                <m:e>
                  <m:r>
                    <w:rPr>
                      <w:rFonts w:ascii="Cambria Math" w:hAnsi="Cambria Math"/>
                    </w:rPr>
                    <m:t>z|w</m:t>
                  </m:r>
                </m:e>
              </m:d>
              <m:r>
                <w:rPr>
                  <w:rFonts w:ascii="Cambria Math" w:hAnsi="Cambria Math"/>
                </w:rPr>
                <m:t>dz</m:t>
              </m:r>
            </m:e>
          </m:nary>
        </m:oMath>
      </m:oMathPara>
    </w:p>
    <w:p w14:paraId="3FE3CA13" w14:textId="1ADEF5AF" w:rsidR="00BA1F2C" w:rsidRDefault="00BA1F2C" w:rsidP="00017503">
      <w:r>
        <w:rPr>
          <w:rFonts w:hint="eastAsia"/>
        </w:rPr>
        <w:t>これを用いると</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e>
        </m:d>
      </m:oMath>
      <w:r>
        <w:rPr>
          <w:rFonts w:hint="eastAsia"/>
        </w:rPr>
        <w:t>は以下のように書ける．</w:t>
      </w:r>
    </w:p>
    <w:p w14:paraId="76840354" w14:textId="09476719" w:rsidR="00BA1F2C" w:rsidRDefault="00A2567D" w:rsidP="00A2567D">
      <w:pPr>
        <w:jc w:val="center"/>
      </w:pPr>
      <w:r>
        <w:rPr>
          <w:noProof/>
        </w:rPr>
        <w:drawing>
          <wp:inline distT="0" distB="0" distL="0" distR="0" wp14:anchorId="134ADC70" wp14:editId="39F76A90">
            <wp:extent cx="3556635" cy="328930"/>
            <wp:effectExtent l="0" t="0" r="5715" b="0"/>
            <wp:docPr id="58756" name="Picture 58756"/>
            <wp:cNvGraphicFramePr/>
            <a:graphic xmlns:a="http://schemas.openxmlformats.org/drawingml/2006/main">
              <a:graphicData uri="http://schemas.openxmlformats.org/drawingml/2006/picture">
                <pic:pic xmlns:pic="http://schemas.openxmlformats.org/drawingml/2006/picture">
                  <pic:nvPicPr>
                    <pic:cNvPr id="58756" name="Picture 58756"/>
                    <pic:cNvPicPr/>
                  </pic:nvPicPr>
                  <pic:blipFill>
                    <a:blip r:embed="rId11"/>
                    <a:stretch>
                      <a:fillRect/>
                    </a:stretch>
                  </pic:blipFill>
                  <pic:spPr>
                    <a:xfrm>
                      <a:off x="0" y="0"/>
                      <a:ext cx="3556635" cy="328930"/>
                    </a:xfrm>
                    <a:prstGeom prst="rect">
                      <a:avLst/>
                    </a:prstGeom>
                  </pic:spPr>
                </pic:pic>
              </a:graphicData>
            </a:graphic>
          </wp:inline>
        </w:drawing>
      </w:r>
    </w:p>
    <w:p w14:paraId="2DECA30A" w14:textId="7E09C091" w:rsidR="00BA1F2C" w:rsidRDefault="00A2567D" w:rsidP="00A2567D">
      <w:pPr>
        <w:jc w:val="center"/>
      </w:pPr>
      <w:r>
        <w:rPr>
          <w:noProof/>
        </w:rPr>
        <w:drawing>
          <wp:inline distT="0" distB="0" distL="0" distR="0" wp14:anchorId="572D87C4" wp14:editId="08BE453F">
            <wp:extent cx="2578100" cy="386715"/>
            <wp:effectExtent l="0" t="0" r="0" b="0"/>
            <wp:docPr id="58757" name="Picture 58757" descr="図形&#10;&#10;中程度の精度で自動的に生成された説明"/>
            <wp:cNvGraphicFramePr/>
            <a:graphic xmlns:a="http://schemas.openxmlformats.org/drawingml/2006/main">
              <a:graphicData uri="http://schemas.openxmlformats.org/drawingml/2006/picture">
                <pic:pic xmlns:pic="http://schemas.openxmlformats.org/drawingml/2006/picture">
                  <pic:nvPicPr>
                    <pic:cNvPr id="58757" name="Picture 58757" descr="図形&#10;&#10;中程度の精度で自動的に生成された説明"/>
                    <pic:cNvPicPr/>
                  </pic:nvPicPr>
                  <pic:blipFill>
                    <a:blip r:embed="rId12"/>
                    <a:stretch>
                      <a:fillRect/>
                    </a:stretch>
                  </pic:blipFill>
                  <pic:spPr>
                    <a:xfrm>
                      <a:off x="0" y="0"/>
                      <a:ext cx="2578100" cy="386715"/>
                    </a:xfrm>
                    <a:prstGeom prst="rect">
                      <a:avLst/>
                    </a:prstGeom>
                  </pic:spPr>
                </pic:pic>
              </a:graphicData>
            </a:graphic>
          </wp:inline>
        </w:drawing>
      </w:r>
    </w:p>
    <w:p w14:paraId="6DB485E6" w14:textId="67D2AF72" w:rsidR="00BA1F2C" w:rsidRDefault="00BA1F2C" w:rsidP="00017503">
      <w:r>
        <w:rPr>
          <w:rFonts w:hint="eastAsia"/>
        </w:rPr>
        <w:t>次に以下の量を考える．</w:t>
      </w:r>
    </w:p>
    <w:p w14:paraId="18A19D15" w14:textId="178594E5" w:rsidR="00BA1F2C" w:rsidRDefault="00A2567D" w:rsidP="00A2567D">
      <w:pPr>
        <w:jc w:val="center"/>
      </w:pPr>
      <w:r>
        <w:rPr>
          <w:noProof/>
        </w:rPr>
        <w:drawing>
          <wp:inline distT="0" distB="0" distL="0" distR="0" wp14:anchorId="7AADE13E" wp14:editId="7BA6EF5F">
            <wp:extent cx="3934460" cy="1783080"/>
            <wp:effectExtent l="0" t="0" r="8890" b="7620"/>
            <wp:docPr id="58759" name="Picture 58759" descr="図形&#10;&#10;中程度の精度で自動的に生成された説明"/>
            <wp:cNvGraphicFramePr/>
            <a:graphic xmlns:a="http://schemas.openxmlformats.org/drawingml/2006/main">
              <a:graphicData uri="http://schemas.openxmlformats.org/drawingml/2006/picture">
                <pic:pic xmlns:pic="http://schemas.openxmlformats.org/drawingml/2006/picture">
                  <pic:nvPicPr>
                    <pic:cNvPr id="58759" name="Picture 58759" descr="図形&#10;&#10;中程度の精度で自動的に生成された説明"/>
                    <pic:cNvPicPr/>
                  </pic:nvPicPr>
                  <pic:blipFill>
                    <a:blip r:embed="rId13"/>
                    <a:stretch>
                      <a:fillRect/>
                    </a:stretch>
                  </pic:blipFill>
                  <pic:spPr>
                    <a:xfrm>
                      <a:off x="0" y="0"/>
                      <a:ext cx="3934460" cy="1783080"/>
                    </a:xfrm>
                    <a:prstGeom prst="rect">
                      <a:avLst/>
                    </a:prstGeom>
                  </pic:spPr>
                </pic:pic>
              </a:graphicData>
            </a:graphic>
          </wp:inline>
        </w:drawing>
      </w:r>
    </w:p>
    <w:p w14:paraId="50D81048" w14:textId="50206572" w:rsidR="00BA1F2C" w:rsidRDefault="002B5AAD" w:rsidP="00017503">
      <m:oMath>
        <m:sSub>
          <m:sSubPr>
            <m:ctrlPr>
              <w:rPr>
                <w:rFonts w:ascii="Cambria Math" w:hAnsi="Cambria Math"/>
                <w:i/>
              </w:rPr>
            </m:ctrlPr>
          </m:sSubPr>
          <m:e>
            <m:r>
              <w:rPr>
                <w:rFonts w:ascii="Cambria Math" w:hAnsi="Cambria Math"/>
              </w:rPr>
              <m:t>α</m:t>
            </m:r>
          </m:e>
          <m:sub>
            <m:r>
              <w:rPr>
                <w:rFonts w:ascii="Cambria Math" w:hAnsi="Cambria Math"/>
              </w:rPr>
              <m:t>q</m:t>
            </m:r>
          </m:sub>
        </m:sSub>
        <m:d>
          <m:dPr>
            <m:ctrlPr>
              <w:rPr>
                <w:rFonts w:ascii="Cambria Math" w:hAnsi="Cambria Math"/>
                <w:i/>
              </w:rPr>
            </m:ctrlPr>
          </m:dPr>
          <m:e>
            <m:r>
              <w:rPr>
                <w:rFonts w:ascii="Cambria Math" w:hAnsi="Cambria Math"/>
              </w:rPr>
              <m:t>Y+Z</m:t>
            </m:r>
          </m:e>
        </m:d>
      </m:oMath>
      <w:r w:rsidR="00BA1F2C">
        <w:rPr>
          <w:rFonts w:hint="eastAsia"/>
          <w:iCs/>
        </w:rPr>
        <w:t>を</w:t>
      </w:r>
      <m:oMath>
        <m:sSub>
          <m:sSubPr>
            <m:ctrlPr>
              <w:rPr>
                <w:rFonts w:ascii="Cambria Math" w:hAnsi="Cambria Math"/>
                <w:i/>
              </w:rPr>
            </m:ctrlPr>
          </m:sSubPr>
          <m:e>
            <m:r>
              <w:rPr>
                <w:rFonts w:ascii="Cambria Math" w:hAnsi="Cambria Math"/>
              </w:rPr>
              <m:t>α</m:t>
            </m:r>
          </m:e>
          <m:sub>
            <m:r>
              <w:rPr>
                <w:rFonts w:ascii="Cambria Math" w:hAnsi="Cambria Math"/>
              </w:rPr>
              <m:t>q</m:t>
            </m:r>
          </m:sub>
        </m:sSub>
        <m:d>
          <m:dPr>
            <m:ctrlPr>
              <w:rPr>
                <w:rFonts w:ascii="Cambria Math" w:hAnsi="Cambria Math"/>
                <w:i/>
              </w:rPr>
            </m:ctrlPr>
          </m:dPr>
          <m:e>
            <m:r>
              <w:rPr>
                <w:rFonts w:ascii="Cambria Math" w:hAnsi="Cambria Math"/>
              </w:rPr>
              <m:t>Y</m:t>
            </m:r>
          </m:e>
        </m:d>
      </m:oMath>
      <w:r w:rsidR="00BA1F2C">
        <w:rPr>
          <w:rFonts w:hint="eastAsia"/>
        </w:rPr>
        <w:t>の周りで展開すると以下の近似式が成立する．ただし，</w:t>
      </w:r>
      <m:oMath>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=0</m:t>
        </m:r>
      </m:oMath>
      <w:r w:rsidR="00BA1F2C">
        <w:rPr>
          <w:rFonts w:hint="eastAsia"/>
        </w:rPr>
        <w:t>とした．</w:t>
      </w:r>
    </w:p>
    <w:p w14:paraId="05E09402" w14:textId="75C283A1" w:rsidR="00BA1F2C" w:rsidRDefault="00A2567D" w:rsidP="00A2567D">
      <w:pPr>
        <w:jc w:val="center"/>
      </w:pPr>
      <w:r>
        <w:rPr>
          <w:noProof/>
        </w:rPr>
        <w:drawing>
          <wp:inline distT="0" distB="0" distL="0" distR="0" wp14:anchorId="4240A705" wp14:editId="45543FDC">
            <wp:extent cx="3956050" cy="484505"/>
            <wp:effectExtent l="0" t="0" r="6350" b="0"/>
            <wp:docPr id="58760" name="Picture 58760"/>
            <wp:cNvGraphicFramePr/>
            <a:graphic xmlns:a="http://schemas.openxmlformats.org/drawingml/2006/main">
              <a:graphicData uri="http://schemas.openxmlformats.org/drawingml/2006/picture">
                <pic:pic xmlns:pic="http://schemas.openxmlformats.org/drawingml/2006/picture">
                  <pic:nvPicPr>
                    <pic:cNvPr id="58760" name="Picture 58760"/>
                    <pic:cNvPicPr/>
                  </pic:nvPicPr>
                  <pic:blipFill>
                    <a:blip r:embed="rId14"/>
                    <a:stretch>
                      <a:fillRect/>
                    </a:stretch>
                  </pic:blipFill>
                  <pic:spPr>
                    <a:xfrm>
                      <a:off x="0" y="0"/>
                      <a:ext cx="3956050" cy="484505"/>
                    </a:xfrm>
                    <a:prstGeom prst="rect">
                      <a:avLst/>
                    </a:prstGeom>
                  </pic:spPr>
                </pic:pic>
              </a:graphicData>
            </a:graphic>
          </wp:inline>
        </w:drawing>
      </w:r>
    </w:p>
    <w:p w14:paraId="31074BDA" w14:textId="633ABA03" w:rsidR="00BA1F2C" w:rsidRDefault="00BA1F2C" w:rsidP="00017503">
      <w:r>
        <w:rPr>
          <w:rFonts w:hint="eastAsia"/>
        </w:rPr>
        <w:t>最終的には以下の式が成立．</w:t>
      </w:r>
    </w:p>
    <w:p w14:paraId="5EFEE2D3" w14:textId="734C7C48" w:rsidR="00BA1F2C" w:rsidRDefault="00A2567D" w:rsidP="00A2567D">
      <w:pPr>
        <w:jc w:val="center"/>
      </w:pPr>
      <w:r>
        <w:rPr>
          <w:noProof/>
        </w:rPr>
        <w:drawing>
          <wp:inline distT="0" distB="0" distL="0" distR="0" wp14:anchorId="5848C25A" wp14:editId="7A54DB9F">
            <wp:extent cx="4013835" cy="328930"/>
            <wp:effectExtent l="0" t="0" r="5715" b="0"/>
            <wp:docPr id="58761" name="Picture 58761"/>
            <wp:cNvGraphicFramePr/>
            <a:graphic xmlns:a="http://schemas.openxmlformats.org/drawingml/2006/main">
              <a:graphicData uri="http://schemas.openxmlformats.org/drawingml/2006/picture">
                <pic:pic xmlns:pic="http://schemas.openxmlformats.org/drawingml/2006/picture">
                  <pic:nvPicPr>
                    <pic:cNvPr id="58761" name="Picture 58761"/>
                    <pic:cNvPicPr/>
                  </pic:nvPicPr>
                  <pic:blipFill>
                    <a:blip r:embed="rId15"/>
                    <a:stretch>
                      <a:fillRect/>
                    </a:stretch>
                  </pic:blipFill>
                  <pic:spPr>
                    <a:xfrm>
                      <a:off x="0" y="0"/>
                      <a:ext cx="4013835" cy="328930"/>
                    </a:xfrm>
                    <a:prstGeom prst="rect">
                      <a:avLst/>
                    </a:prstGeom>
                  </pic:spPr>
                </pic:pic>
              </a:graphicData>
            </a:graphic>
          </wp:inline>
        </w:drawing>
      </w:r>
    </w:p>
    <w:p w14:paraId="7666CE0D" w14:textId="60FBD0DE" w:rsidR="00BA1F2C" w:rsidRDefault="00BA1F2C" w:rsidP="00017503"/>
    <w:p w14:paraId="7347EF9C" w14:textId="29C03081" w:rsidR="00BA1F2C" w:rsidRDefault="00BA1F2C" w:rsidP="00017503"/>
    <w:p w14:paraId="4D119004" w14:textId="3C1ED741" w:rsidR="00BA1F2C" w:rsidRDefault="00BA1F2C" w:rsidP="00017503">
      <w:r>
        <w:rPr>
          <w:rFonts w:hint="eastAsia"/>
        </w:rPr>
        <w:t>ここで，具体的に</w:t>
      </w:r>
      <m:oMath>
        <m:r>
          <w:rPr>
            <w:rFonts w:ascii="Cambria Math" w:hAnsi="Cambria Math"/>
          </w:rPr>
          <m:t>Y=μ</m:t>
        </m:r>
        <m:d>
          <m:dPr>
            <m:ctrlPr>
              <w:rPr>
                <w:rFonts w:ascii="Cambria Math" w:hAnsi="Cambria Math"/>
                <w:i/>
              </w:rPr>
            </m:ctrlPr>
          </m:dPr>
          <m:e>
            <m:r>
              <w:rPr>
                <w:rFonts w:ascii="Cambria Math" w:hAnsi="Cambria Math"/>
              </w:rPr>
              <m:t>X</m:t>
            </m:r>
          </m:e>
        </m:d>
      </m:oMath>
      <w:r>
        <w:rPr>
          <w:rFonts w:hint="eastAsia"/>
        </w:rPr>
        <w:t>，</w:t>
      </w:r>
      <m:oMath>
        <m:r>
          <w:rPr>
            <w:rFonts w:ascii="Cambria Math" w:hAnsi="Cambria Math"/>
          </w:rPr>
          <m:t>Z=</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-μ</m:t>
        </m:r>
        <m:d>
          <m:dPr>
            <m:ctrlPr>
              <w:rPr>
                <w:rFonts w:ascii="Cambria Math" w:hAnsi="Cambria Math"/>
                <w:i/>
              </w:rPr>
            </m:ctrlPr>
          </m:dPr>
          <m:e>
            <m:r>
              <w:rPr>
                <w:rFonts w:ascii="Cambria Math" w:hAnsi="Cambria Math"/>
              </w:rPr>
              <m:t>X</m:t>
            </m:r>
          </m:e>
        </m:d>
      </m:oMath>
      <w:r>
        <w:rPr>
          <w:rFonts w:hint="eastAsia"/>
        </w:rPr>
        <w:t>とする．この時，</w:t>
      </w:r>
      <m:oMath>
        <m:r>
          <w:rPr>
            <w:rFonts w:ascii="Cambria Math" w:hAnsi="Cambria Math"/>
          </w:rPr>
          <m:t>μ</m:t>
        </m:r>
        <m:d>
          <m:dPr>
            <m:ctrlPr>
              <w:rPr>
                <w:rFonts w:ascii="Cambria Math" w:hAnsi="Cambria Math"/>
                <w:i/>
              </w:rPr>
            </m:ctrlPr>
          </m:dPr>
          <m:e>
            <m:r>
              <w:rPr>
                <w:rFonts w:ascii="Cambria Math" w:hAnsi="Cambria Math"/>
              </w:rPr>
              <m:t>X</m:t>
            </m:r>
          </m:e>
        </m:d>
      </m:oMath>
      <w:r>
        <w:rPr>
          <w:rFonts w:hint="eastAsia"/>
        </w:rPr>
        <w:t>は</w:t>
      </w:r>
      <w:r w:rsidR="00C40B69">
        <w:rPr>
          <w:rFonts w:hint="eastAsia"/>
        </w:rPr>
        <w:t>狭義の増加関数であるため，</w:t>
      </w:r>
      <m:oMath>
        <m:r>
          <w:rPr>
            <w:rFonts w:ascii="Cambria Math" w:hAnsi="Cambria Math"/>
          </w:rPr>
          <m:t>Y=μ</m:t>
        </m:r>
        <m:d>
          <m:dPr>
            <m:ctrlPr>
              <w:rPr>
                <w:rFonts w:ascii="Cambria Math" w:hAnsi="Cambria Math"/>
                <w:i/>
              </w:rPr>
            </m:ctrlPr>
          </m:dPr>
          <m:e>
            <m:r>
              <w:rPr>
                <w:rFonts w:ascii="Cambria Math" w:hAnsi="Cambria Math"/>
              </w:rPr>
              <m:t>x</m:t>
            </m:r>
          </m:e>
        </m:d>
      </m:oMath>
      <w:r w:rsidR="00C40B69">
        <w:rPr>
          <w:rFonts w:hint="eastAsia"/>
        </w:rPr>
        <w:t>で条件を付けることは</w:t>
      </w:r>
      <m:oMath>
        <m:r>
          <w:rPr>
            <w:rFonts w:ascii="Cambria Math" w:hAnsi="Cambria Math"/>
          </w:rPr>
          <m:t>X=x</m:t>
        </m:r>
      </m:oMath>
      <w:r w:rsidR="00C40B69">
        <w:rPr>
          <w:rFonts w:hint="eastAsia"/>
        </w:rPr>
        <w:t>で条件を付けることと等価である．よって，任意の</w:t>
      </w:r>
      <m:oMath>
        <m:r>
          <w:rPr>
            <w:rFonts w:ascii="Cambria Math" w:hAnsi="Cambria Math"/>
          </w:rPr>
          <m:t>ω=μ</m:t>
        </m:r>
        <m:d>
          <m:dPr>
            <m:ctrlPr>
              <w:rPr>
                <w:rFonts w:ascii="Cambria Math" w:hAnsi="Cambria Math"/>
                <w:i/>
              </w:rPr>
            </m:ctrlPr>
          </m:dPr>
          <m:e>
            <m:r>
              <w:rPr>
                <w:rFonts w:ascii="Cambria Math" w:hAnsi="Cambria Math"/>
              </w:rPr>
              <m:t>x</m:t>
            </m:r>
          </m:e>
        </m:d>
      </m:oMath>
      <w:r w:rsidR="00C40B69">
        <w:rPr>
          <w:rFonts w:hint="eastAsia"/>
        </w:rPr>
        <w:t>に対して，</w:t>
      </w:r>
    </w:p>
    <w:p w14:paraId="2099FCC9" w14:textId="78814F89" w:rsidR="00A2567D" w:rsidRPr="00BA43A1" w:rsidRDefault="00BA43A1" w:rsidP="00A2567D">
      <w:pPr>
        <w:spacing w:after="334" w:line="381" w:lineRule="auto"/>
        <w:ind w:left="-15" w:firstLine="329"/>
        <w:jc w:val="center"/>
        <w:rPr>
          <w:rFonts w:ascii="Cambria Math" w:hAnsi="Cambria Math"/>
          <w:oMath/>
        </w:rPr>
      </w:pPr>
      <m:oMathPara>
        <m:oMath>
          <m:sSub>
            <m:sSubPr>
              <m:ctrlPr>
                <w:rPr>
                  <w:rFonts w:ascii="Cambria Math" w:hAnsi="Cambria Math"/>
                  <w:i/>
                  <w:vertAlign w:val="subscript"/>
                </w:rPr>
              </m:ctrlPr>
            </m:sSubPr>
            <m:e>
              <m:r>
                <w:rPr>
                  <w:rFonts w:ascii="Cambria Math" w:hAnsi="Cambria Math"/>
                </w:rPr>
                <m:t>m</m:t>
              </m:r>
              <m:ctrlPr>
                <w:rPr>
                  <w:rFonts w:ascii="Cambria Math" w:hAnsi="Cambria Math"/>
                  <w:i/>
                </w:rPr>
              </m:ctrlPr>
            </m:e>
            <m:sub>
              <m:r>
                <w:rPr>
                  <w:rFonts w:ascii="Cambria Math" w:hAnsi="Cambria Math"/>
                  <w:vertAlign w:val="subscript"/>
                </w:rPr>
                <m:t>1</m:t>
              </m:r>
            </m:sub>
          </m:sSub>
          <m:r>
            <w:rPr>
              <w:rFonts w:ascii="Cambria Math" w:hAnsi="Cambria Math"/>
            </w:rPr>
            <m:t>(w) = E[Z|X = x] = E[</m:t>
          </m:r>
          <m:sSub>
            <m:sSubPr>
              <m:ctrlPr>
                <w:rPr>
                  <w:rFonts w:ascii="Cambria Math" w:hAnsi="Cambria Math"/>
                  <w:i/>
                  <w:vertAlign w:val="subscript"/>
                </w:rPr>
              </m:ctrlPr>
            </m:sSubPr>
            <m:e>
              <m:r>
                <w:rPr>
                  <w:rFonts w:ascii="Cambria Math" w:hAnsi="Cambria Math"/>
                </w:rPr>
                <m:t>L</m:t>
              </m:r>
              <m:ctrlPr>
                <w:rPr>
                  <w:rFonts w:ascii="Cambria Math" w:hAnsi="Cambria Math"/>
                  <w:i/>
                </w:rPr>
              </m:ctrlPr>
            </m:e>
            <m:sub>
              <m:r>
                <w:rPr>
                  <w:rFonts w:ascii="Cambria Math" w:hAnsi="Cambria Math"/>
                  <w:vertAlign w:val="subscript"/>
                </w:rPr>
                <m:t>n</m:t>
              </m:r>
            </m:sub>
          </m:sSub>
          <m:r>
            <w:rPr>
              <w:rFonts w:ascii="Cambria Math" w:hAnsi="Cambria Math"/>
            </w:rPr>
            <m:t>|X = x] - E[E[</m:t>
          </m:r>
          <m:sSub>
            <m:sSubPr>
              <m:ctrlPr>
                <w:rPr>
                  <w:rFonts w:ascii="Cambria Math" w:hAnsi="Cambria Math"/>
                  <w:i/>
                  <w:vertAlign w:val="subscript"/>
                </w:rPr>
              </m:ctrlPr>
            </m:sSubPr>
            <m:e>
              <m:r>
                <w:rPr>
                  <w:rFonts w:ascii="Cambria Math" w:hAnsi="Cambria Math"/>
                </w:rPr>
                <m:t>L</m:t>
              </m:r>
              <m:ctrlPr>
                <w:rPr>
                  <w:rFonts w:ascii="Cambria Math" w:hAnsi="Cambria Math"/>
                  <w:i/>
                </w:rPr>
              </m:ctrlPr>
            </m:e>
            <m:sub>
              <m:r>
                <w:rPr>
                  <w:rFonts w:ascii="Cambria Math" w:hAnsi="Cambria Math"/>
                  <w:vertAlign w:val="subscript"/>
                </w:rPr>
                <m:t>n</m:t>
              </m:r>
            </m:sub>
          </m:sSub>
          <m:r>
            <w:rPr>
              <w:rFonts w:ascii="Cambria Math" w:hAnsi="Cambria Math"/>
            </w:rPr>
            <m:t>|X = x]|X = x] = 0</m:t>
          </m:r>
        </m:oMath>
      </m:oMathPara>
    </w:p>
    <w:p w14:paraId="097B51CF" w14:textId="7C4C046D" w:rsidR="00C40B69" w:rsidRPr="00BA43A1" w:rsidRDefault="00BA43A1" w:rsidP="00A2567D">
      <w:pPr>
        <w:spacing w:after="3" w:line="256" w:lineRule="auto"/>
        <w:ind w:left="452" w:right="443"/>
        <w:jc w:val="center"/>
        <w:rPr>
          <w:rFonts w:ascii="Cambria Math" w:hAnsi="Cambria Math" w:hint="eastAsia"/>
          <w:oMath/>
        </w:rPr>
      </w:pPr>
      <m:oMathPara>
        <m:oMath>
          <m:sSub>
            <m:sSubPr>
              <m:ctrlPr>
                <w:rPr>
                  <w:rFonts w:ascii="Cambria Math" w:hAnsi="Cambria Math"/>
                  <w:i/>
                  <w:vertAlign w:val="subscript"/>
                </w:rPr>
              </m:ctrlPr>
            </m:sSubPr>
            <m:e>
              <m:r>
                <w:rPr>
                  <w:rFonts w:ascii="Cambria Math" w:hAnsi="Cambria Math"/>
                </w:rPr>
                <m:t>m</m:t>
              </m:r>
              <m:ctrlPr>
                <w:rPr>
                  <w:rFonts w:ascii="Cambria Math" w:hAnsi="Cambria Math"/>
                  <w:i/>
                </w:rPr>
              </m:ctrlPr>
            </m:e>
            <m:sub>
              <m:r>
                <w:rPr>
                  <w:rFonts w:ascii="Cambria Math" w:hAnsi="Cambria Math"/>
                  <w:vertAlign w:val="subscript"/>
                </w:rPr>
                <m:t>2</m:t>
              </m:r>
            </m:sub>
          </m:sSub>
          <m:r>
            <w:rPr>
              <w:rFonts w:ascii="Cambria Math" w:hAnsi="Cambria Math"/>
            </w:rPr>
            <m:t>(w) = E[</m:t>
          </m:r>
          <m:sSup>
            <m:sSupPr>
              <m:ctrlPr>
                <w:rPr>
                  <w:rFonts w:ascii="Cambria Math" w:hAnsi="Cambria Math"/>
                  <w:i/>
                  <w:vertAlign w:val="superscript"/>
                </w:rPr>
              </m:ctrlPr>
            </m:sSupPr>
            <m:e>
              <m:r>
                <w:rPr>
                  <w:rFonts w:ascii="Cambria Math" w:hAnsi="Cambria Math"/>
                </w:rPr>
                <m:t>Z</m:t>
              </m:r>
              <m:ctrlPr>
                <w:rPr>
                  <w:rFonts w:ascii="Cambria Math" w:hAnsi="Cambria Math"/>
                  <w:i/>
                </w:rPr>
              </m:ctrlPr>
            </m:e>
            <m:sup>
              <m:r>
                <w:rPr>
                  <w:rFonts w:ascii="Cambria Math" w:hAnsi="Cambria Math"/>
                </w:rPr>
                <m:t>2</m:t>
              </m:r>
            </m:sup>
          </m:sSup>
          <m:r>
            <w:rPr>
              <w:rFonts w:ascii="Cambria Math" w:hAnsi="Cambria Math"/>
            </w:rPr>
            <m:t>|X = x] = V[</m:t>
          </m:r>
          <m:sSub>
            <m:sSubPr>
              <m:ctrlPr>
                <w:rPr>
                  <w:rFonts w:ascii="Cambria Math" w:hAnsi="Cambria Math"/>
                  <w:i/>
                  <w:vertAlign w:val="subscript"/>
                </w:rPr>
              </m:ctrlPr>
            </m:sSubPr>
            <m:e>
              <m:r>
                <w:rPr>
                  <w:rFonts w:ascii="Cambria Math" w:hAnsi="Cambria Math"/>
                </w:rPr>
                <m:t>L</m:t>
              </m:r>
              <m:ctrlPr>
                <w:rPr>
                  <w:rFonts w:ascii="Cambria Math" w:hAnsi="Cambria Math"/>
                  <w:i/>
                </w:rPr>
              </m:ctrlPr>
            </m:e>
            <m:sub>
              <m:r>
                <w:rPr>
                  <w:rFonts w:ascii="Cambria Math" w:hAnsi="Cambria Math"/>
                  <w:vertAlign w:val="subscript"/>
                </w:rPr>
                <m:t>n</m:t>
              </m:r>
            </m:sub>
          </m:sSub>
          <m:r>
            <w:rPr>
              <w:rFonts w:ascii="Cambria Math" w:hAnsi="Cambria Math"/>
            </w:rPr>
            <m:t xml:space="preserve">|X = x] ≡ </m:t>
          </m:r>
          <m:sSup>
            <m:sSupPr>
              <m:ctrlPr>
                <w:rPr>
                  <w:rFonts w:ascii="Cambria Math" w:hAnsi="Cambria Math"/>
                  <w:i/>
                  <w:vertAlign w:val="superscript"/>
                </w:rPr>
              </m:ctrlPr>
            </m:sSupPr>
            <m:e>
              <m:r>
                <w:rPr>
                  <w:rFonts w:ascii="Cambria Math" w:hAnsi="Cambria Math"/>
                </w:rPr>
                <m:t>σ</m:t>
              </m:r>
              <m:ctrlPr>
                <w:rPr>
                  <w:rFonts w:ascii="Cambria Math" w:hAnsi="Cambria Math"/>
                  <w:i/>
                </w:rPr>
              </m:ctrlPr>
            </m:e>
            <m:sup>
              <m:r>
                <w:rPr>
                  <w:rFonts w:ascii="Cambria Math" w:hAnsi="Cambria Math"/>
                  <w:vertAlign w:val="superscript"/>
                </w:rPr>
                <m:t>2</m:t>
              </m:r>
            </m:sup>
          </m:sSup>
          <m:r>
            <w:rPr>
              <w:rFonts w:ascii="Cambria Math" w:hAnsi="Cambria Math"/>
            </w:rPr>
            <m:t>(x)</m:t>
          </m:r>
        </m:oMath>
      </m:oMathPara>
    </w:p>
    <w:p w14:paraId="16F5A635" w14:textId="6CB37F69" w:rsidR="00C40B69" w:rsidRDefault="00C40B69" w:rsidP="00017503">
      <w:r>
        <w:rPr>
          <w:rFonts w:hint="eastAsia"/>
        </w:rPr>
        <w:t>となる．したがって，以下のグラニュラリティ調整の公式が導ける．</w:t>
      </w:r>
    </w:p>
    <w:p w14:paraId="3D2BE1BF" w14:textId="17992D9B" w:rsidR="00C40B69" w:rsidRPr="00A2567D" w:rsidRDefault="00A2567D" w:rsidP="00A2567D">
      <w:pPr>
        <w:jc w:val="center"/>
      </w:pPr>
      <w:r>
        <w:rPr>
          <w:noProof/>
        </w:rPr>
        <w:lastRenderedPageBreak/>
        <w:drawing>
          <wp:inline distT="0" distB="0" distL="0" distR="0" wp14:anchorId="6A775C10" wp14:editId="0013B9F8">
            <wp:extent cx="3800475" cy="1252220"/>
            <wp:effectExtent l="0" t="0" r="9525" b="5080"/>
            <wp:docPr id="58762" name="Picture 58762" descr="図形&#10;&#10;中程度の精度で自動的に生成された説明"/>
            <wp:cNvGraphicFramePr/>
            <a:graphic xmlns:a="http://schemas.openxmlformats.org/drawingml/2006/main">
              <a:graphicData uri="http://schemas.openxmlformats.org/drawingml/2006/picture">
                <pic:pic xmlns:pic="http://schemas.openxmlformats.org/drawingml/2006/picture">
                  <pic:nvPicPr>
                    <pic:cNvPr id="58762" name="Picture 58762" descr="図形&#10;&#10;中程度の精度で自動的に生成された説明"/>
                    <pic:cNvPicPr/>
                  </pic:nvPicPr>
                  <pic:blipFill>
                    <a:blip r:embed="rId16"/>
                    <a:stretch>
                      <a:fillRect/>
                    </a:stretch>
                  </pic:blipFill>
                  <pic:spPr>
                    <a:xfrm>
                      <a:off x="0" y="0"/>
                      <a:ext cx="3800475" cy="1252220"/>
                    </a:xfrm>
                    <a:prstGeom prst="rect">
                      <a:avLst/>
                    </a:prstGeom>
                  </pic:spPr>
                </pic:pic>
              </a:graphicData>
            </a:graphic>
          </wp:inline>
        </w:drawing>
      </w:r>
    </w:p>
    <w:p w14:paraId="6A62BB1F" w14:textId="68B190B7" w:rsidR="00C40B69" w:rsidRDefault="00C40B69" w:rsidP="00017503"/>
    <w:p w14:paraId="70F0B737" w14:textId="44DBEF87" w:rsidR="00263B4B" w:rsidRDefault="00263B4B" w:rsidP="00263B4B">
      <w:pPr>
        <w:pStyle w:val="a5"/>
        <w:numPr>
          <w:ilvl w:val="0"/>
          <w:numId w:val="9"/>
        </w:numPr>
        <w:ind w:leftChars="0"/>
      </w:pPr>
      <w:r>
        <w:rPr>
          <w:rFonts w:hint="eastAsia"/>
        </w:rPr>
        <w:t>今まで「損失」に関する会計上の定義を課していないため，</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t>を時価ベースで測定するか，保険数理ベースで測定するか，また，</w:t>
      </w:r>
      <w:r>
        <w:rPr>
          <w:rFonts w:hint="eastAsia"/>
        </w:rPr>
        <w:t>期待</w:t>
      </w:r>
      <w:r>
        <w:t>損失を含むか含まないかを選択することができます．</w:t>
      </w:r>
    </w:p>
    <w:p w14:paraId="5DB1B609" w14:textId="4FAD72D0" w:rsidR="00263B4B" w:rsidRDefault="00263B4B" w:rsidP="0038577C">
      <w:pPr>
        <w:pStyle w:val="a5"/>
        <w:numPr>
          <w:ilvl w:val="0"/>
          <w:numId w:val="9"/>
        </w:numPr>
        <w:ind w:leftChars="0"/>
      </w:pPr>
      <w:r>
        <w:t>後者の点は，CP2とバーゼルIIの最終文書の間で資本の定義が変更されたことを考えると重要</w:t>
      </w:r>
      <w:r>
        <w:rPr>
          <w:rFonts w:hint="eastAsia"/>
        </w:rPr>
        <w:t>となる</w:t>
      </w:r>
      <w:r>
        <w:t>．CP2では，資本要件はポートフォリオの損失分布の分位点，すなわち</w:t>
      </w:r>
      <w:proofErr w:type="spellStart"/>
      <w:r>
        <w:t>VaR</w:t>
      </w:r>
      <w:proofErr w:type="spellEnd"/>
      <w:r>
        <w:t>に関連付けられていた．バーゼルⅡの最終版およびバーゼルⅢでは，</w:t>
      </w:r>
      <w:proofErr w:type="spellStart"/>
      <w:r>
        <w:t>VaR</w:t>
      </w:r>
      <w:proofErr w:type="spellEnd"/>
      <w:r>
        <w:t>要件は</w:t>
      </w:r>
      <w:r>
        <w:rPr>
          <w:rFonts w:hint="eastAsia"/>
        </w:rPr>
        <w:t>期待</w:t>
      </w:r>
      <w:r>
        <w:t>損失（EL）と</w:t>
      </w:r>
      <w:r>
        <w:rPr>
          <w:rFonts w:hint="eastAsia"/>
        </w:rPr>
        <w:t>期待</w:t>
      </w:r>
      <w:r>
        <w:t>外損失（UL）のコンポーネントに分解されてい</w:t>
      </w:r>
      <w:r w:rsidR="00147A10">
        <w:rPr>
          <w:rFonts w:hint="eastAsia"/>
        </w:rPr>
        <w:t>る</w:t>
      </w:r>
      <w:r>
        <w:t>．</w:t>
      </w:r>
    </w:p>
    <w:p w14:paraId="3C89EBB7" w14:textId="11436ECD" w:rsidR="00263B4B" w:rsidRDefault="00263B4B" w:rsidP="00263B4B">
      <w:pPr>
        <w:pStyle w:val="a5"/>
        <w:numPr>
          <w:ilvl w:val="0"/>
          <w:numId w:val="9"/>
        </w:numPr>
        <w:ind w:leftChars="0"/>
      </w:pPr>
      <w:r>
        <w:rPr>
          <w:rFonts w:hint="eastAsia"/>
        </w:rPr>
        <w:t>予期せぬ損失は，単純に</w:t>
      </w:r>
      <w:proofErr w:type="spellStart"/>
      <w:r>
        <w:t>VaR</w:t>
      </w:r>
      <w:proofErr w:type="spellEnd"/>
      <w:r>
        <w:t>とELの差として定義され，最低資本要件の基礎と</w:t>
      </w:r>
      <w:r>
        <w:rPr>
          <w:rFonts w:hint="eastAsia"/>
        </w:rPr>
        <w:t>なる</w:t>
      </w:r>
      <w:r>
        <w:t>．</w:t>
      </w:r>
      <w:r>
        <w:rPr>
          <w:rFonts w:hint="eastAsia"/>
        </w:rPr>
        <w:t>ポジションの数</w:t>
      </w:r>
      <m:oMath>
        <m:r>
          <w:rPr>
            <w:rFonts w:ascii="Cambria Math" w:hAnsi="Cambria Math"/>
          </w:rPr>
          <m:t>n</m:t>
        </m:r>
      </m:oMath>
      <w:r>
        <w:rPr>
          <w:rFonts w:hint="eastAsia"/>
        </w:rPr>
        <w:t>が大きくなるにつれ，以下の極限が成立する．</w:t>
      </w:r>
    </w:p>
    <w:p w14:paraId="7C3E538D" w14:textId="77777777" w:rsidR="00263B4B" w:rsidRDefault="00263B4B" w:rsidP="00263B4B">
      <w:pPr>
        <w:pStyle w:val="a5"/>
        <w:ind w:leftChars="0" w:left="420"/>
      </w:pPr>
      <w:r>
        <w:t>したがって，μ(αq(X))-E[Ln]がUL体制下での漸近的な資本賦課金となる．</w:t>
      </w:r>
    </w:p>
    <w:p w14:paraId="3D119B4E" w14:textId="77777777" w:rsidR="00263B4B" w:rsidRDefault="00263B4B" w:rsidP="00263B4B">
      <w:pPr>
        <w:pStyle w:val="a5"/>
        <w:numPr>
          <w:ilvl w:val="0"/>
          <w:numId w:val="9"/>
        </w:numPr>
        <w:ind w:leftChars="0"/>
      </w:pPr>
      <w:r>
        <w:t>ULの粒度調整は</w:t>
      </w:r>
      <w:proofErr w:type="spellStart"/>
      <w:r>
        <w:t>VaR</w:t>
      </w:r>
      <w:proofErr w:type="spellEnd"/>
      <w:r>
        <w:t>の粒度調整と同じであるため，規制資本の定義の変更によってGAは変更され</w:t>
      </w:r>
      <w:r>
        <w:rPr>
          <w:rFonts w:hint="eastAsia"/>
        </w:rPr>
        <w:t>ないが，</w:t>
      </w:r>
      <w:r>
        <w:t>後述するように，GAの計算</w:t>
      </w:r>
      <w:r>
        <w:rPr>
          <w:rFonts w:hint="eastAsia"/>
        </w:rPr>
        <w:t>式へのインプットは，</w:t>
      </w:r>
      <w:r>
        <w:t>ELとULの区別に依存</w:t>
      </w:r>
      <w:r>
        <w:rPr>
          <w:rFonts w:hint="eastAsia"/>
        </w:rPr>
        <w:t>する</w:t>
      </w:r>
      <w:r>
        <w:t>．</w:t>
      </w:r>
    </w:p>
    <w:p w14:paraId="2B3B7C7C" w14:textId="77777777" w:rsidR="00263B4B" w:rsidRDefault="00263B4B" w:rsidP="00263B4B">
      <w:pPr>
        <w:pStyle w:val="a5"/>
        <w:numPr>
          <w:ilvl w:val="0"/>
          <w:numId w:val="9"/>
        </w:numPr>
        <w:ind w:leftChars="0"/>
      </w:pPr>
      <w:r>
        <w:t>Value-at-risk は業界の実務では広く使われて</w:t>
      </w:r>
      <w:r>
        <w:rPr>
          <w:rFonts w:hint="eastAsia"/>
        </w:rPr>
        <w:t>いるが，</w:t>
      </w:r>
      <w:proofErr w:type="spellStart"/>
      <w:r>
        <w:t>VaR</w:t>
      </w:r>
      <w:proofErr w:type="spellEnd"/>
      <w:r>
        <w:t xml:space="preserve"> には理論的および実務的な欠点があることがよく理解されています（例えば，McNeil, Frey, and </w:t>
      </w:r>
      <w:proofErr w:type="spellStart"/>
      <w:r>
        <w:t>Embrechts</w:t>
      </w:r>
      <w:proofErr w:type="spellEnd"/>
      <w:r>
        <w:t xml:space="preserve"> 2005, §6.1 を参照）．</w:t>
      </w:r>
    </w:p>
    <w:p w14:paraId="14920345" w14:textId="77777777" w:rsidR="008D4090" w:rsidRDefault="00263B4B" w:rsidP="00263B4B">
      <w:pPr>
        <w:pStyle w:val="a5"/>
        <w:numPr>
          <w:ilvl w:val="0"/>
          <w:numId w:val="9"/>
        </w:numPr>
        <w:ind w:leftChars="0"/>
      </w:pPr>
      <w:proofErr w:type="spellStart"/>
      <w:r>
        <w:t>VaR</w:t>
      </w:r>
      <w:proofErr w:type="spellEnd"/>
      <w:r>
        <w:t>に代わるものとしては，expected shortfallが</w:t>
      </w:r>
      <w:r>
        <w:rPr>
          <w:rFonts w:hint="eastAsia"/>
        </w:rPr>
        <w:t>よく知られている．付録では，この代替案の粒度調整と，第</w:t>
      </w:r>
      <w:r>
        <w:t>3節のものに対応する上界および下界を示</w:t>
      </w:r>
      <w:r>
        <w:rPr>
          <w:rFonts w:hint="eastAsia"/>
        </w:rPr>
        <w:t>している</w:t>
      </w:r>
    </w:p>
    <w:p w14:paraId="3CD0D2E5" w14:textId="118ACAC8" w:rsidR="00263B4B" w:rsidRDefault="00263B4B" w:rsidP="00263B4B">
      <w:pPr>
        <w:pStyle w:val="a5"/>
        <w:numPr>
          <w:ilvl w:val="0"/>
          <w:numId w:val="9"/>
        </w:numPr>
        <w:ind w:leftChars="0"/>
      </w:pPr>
      <w:r>
        <w:t>．</w:t>
      </w:r>
    </w:p>
    <w:p w14:paraId="7F09B15D" w14:textId="77777777" w:rsidR="00C40B69" w:rsidRPr="00263B4B" w:rsidRDefault="00C40B69" w:rsidP="00017503"/>
    <w:sectPr w:rsidR="00C40B69" w:rsidRPr="00263B4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6B306" w14:textId="77777777" w:rsidR="002B5AAD" w:rsidRDefault="002B5AAD" w:rsidP="00CB6A97">
      <w:r>
        <w:separator/>
      </w:r>
    </w:p>
  </w:endnote>
  <w:endnote w:type="continuationSeparator" w:id="0">
    <w:p w14:paraId="2E91456B" w14:textId="77777777" w:rsidR="002B5AAD" w:rsidRDefault="002B5AAD" w:rsidP="00CB6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26DEF" w14:textId="77777777" w:rsidR="002B5AAD" w:rsidRDefault="002B5AAD" w:rsidP="00CB6A97">
      <w:r>
        <w:separator/>
      </w:r>
    </w:p>
  </w:footnote>
  <w:footnote w:type="continuationSeparator" w:id="0">
    <w:p w14:paraId="3BDEAAC3" w14:textId="77777777" w:rsidR="002B5AAD" w:rsidRDefault="002B5AAD" w:rsidP="00CB6A97">
      <w:r>
        <w:continuationSeparator/>
      </w:r>
    </w:p>
  </w:footnote>
  <w:footnote w:id="1">
    <w:p w14:paraId="02A1CC08" w14:textId="3B2713DE" w:rsidR="00CB6A97" w:rsidRDefault="00CB6A97">
      <w:pPr>
        <w:pStyle w:val="a6"/>
      </w:pPr>
      <w:r>
        <w:rPr>
          <w:rStyle w:val="a8"/>
        </w:rPr>
        <w:footnoteRef/>
      </w:r>
      <w:r>
        <w:t xml:space="preserve"> </w:t>
      </w:r>
      <w:r w:rsidRPr="00CB6A97">
        <w:rPr>
          <w:rFonts w:hint="eastAsia"/>
        </w:rPr>
        <w:t>特に金融機関について、市場リスクや信用リスク、オペレーショナルリスク等、企業経営を行っていく上で生じるリスクをカバーするために必要となるリスク資本の総額</w:t>
      </w:r>
      <w:r>
        <w:rPr>
          <w:rFonts w:hint="eastAsia"/>
        </w:rPr>
        <w:t>．（</w:t>
      </w:r>
      <w:hyperlink r:id="rId1" w:history="1">
        <w:r w:rsidRPr="00CB6A97">
          <w:rPr>
            <w:rStyle w:val="a9"/>
            <w:rFonts w:hint="eastAsia"/>
          </w:rPr>
          <w:t>参考URL</w:t>
        </w:r>
      </w:hyperlink>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B0F"/>
    <w:multiLevelType w:val="hybridMultilevel"/>
    <w:tmpl w:val="2AB00DF0"/>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C541C8F"/>
    <w:multiLevelType w:val="hybridMultilevel"/>
    <w:tmpl w:val="9D068C7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BBB0BB2"/>
    <w:multiLevelType w:val="hybridMultilevel"/>
    <w:tmpl w:val="7362DD88"/>
    <w:lvl w:ilvl="0" w:tplc="5ACA7B72">
      <w:start w:val="1"/>
      <w:numFmt w:val="bullet"/>
      <w:lvlText w:val=""/>
      <w:lvlJc w:val="left"/>
      <w:pPr>
        <w:ind w:left="420" w:hanging="420"/>
      </w:pPr>
      <w:rPr>
        <w:rFonts w:ascii="Wingdings" w:hAnsi="Wingdings" w:hint="default"/>
        <w:lang w:eastAsia="ja-JP"/>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36B6F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A5B1D3A"/>
    <w:multiLevelType w:val="hybridMultilevel"/>
    <w:tmpl w:val="F90CEC2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1CF07D0"/>
    <w:multiLevelType w:val="hybridMultilevel"/>
    <w:tmpl w:val="91783B0C"/>
    <w:lvl w:ilvl="0" w:tplc="95660C7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32D08DD"/>
    <w:multiLevelType w:val="hybridMultilevel"/>
    <w:tmpl w:val="48E0505A"/>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64F65CF"/>
    <w:multiLevelType w:val="hybridMultilevel"/>
    <w:tmpl w:val="22B61A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9269B8"/>
    <w:multiLevelType w:val="hybridMultilevel"/>
    <w:tmpl w:val="F2CAF7C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3AE5ACB"/>
    <w:multiLevelType w:val="multilevel"/>
    <w:tmpl w:val="2F54349C"/>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4"/>
  </w:num>
  <w:num w:numId="3">
    <w:abstractNumId w:val="1"/>
  </w:num>
  <w:num w:numId="4">
    <w:abstractNumId w:val="5"/>
  </w:num>
  <w:num w:numId="5">
    <w:abstractNumId w:val="7"/>
  </w:num>
  <w:num w:numId="6">
    <w:abstractNumId w:val="9"/>
  </w:num>
  <w:num w:numId="7">
    <w:abstractNumId w:val="3"/>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52"/>
    <w:rsid w:val="00017503"/>
    <w:rsid w:val="0001773F"/>
    <w:rsid w:val="00135537"/>
    <w:rsid w:val="00147A10"/>
    <w:rsid w:val="00193C87"/>
    <w:rsid w:val="00204D44"/>
    <w:rsid w:val="002254BA"/>
    <w:rsid w:val="0023127B"/>
    <w:rsid w:val="00263B4B"/>
    <w:rsid w:val="002B5AAD"/>
    <w:rsid w:val="00327AEA"/>
    <w:rsid w:val="003354E7"/>
    <w:rsid w:val="0038577C"/>
    <w:rsid w:val="00395B5F"/>
    <w:rsid w:val="003A4BEC"/>
    <w:rsid w:val="003C5FBB"/>
    <w:rsid w:val="00540B06"/>
    <w:rsid w:val="005F77C1"/>
    <w:rsid w:val="00683518"/>
    <w:rsid w:val="00766EFC"/>
    <w:rsid w:val="00835852"/>
    <w:rsid w:val="008D4090"/>
    <w:rsid w:val="00A2567D"/>
    <w:rsid w:val="00A65C4E"/>
    <w:rsid w:val="00BA1F2C"/>
    <w:rsid w:val="00BA43A1"/>
    <w:rsid w:val="00C03A31"/>
    <w:rsid w:val="00C40AEA"/>
    <w:rsid w:val="00C40B69"/>
    <w:rsid w:val="00C94589"/>
    <w:rsid w:val="00CB6A97"/>
    <w:rsid w:val="00CB78F0"/>
    <w:rsid w:val="00E64D20"/>
    <w:rsid w:val="00E6747F"/>
    <w:rsid w:val="00E72AFC"/>
    <w:rsid w:val="00ED1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E4784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3A3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03A3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03A3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03A3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03A31"/>
    <w:rPr>
      <w:rFonts w:asciiTheme="majorHAnsi" w:eastAsiaTheme="majorEastAsia" w:hAnsiTheme="majorHAnsi" w:cstheme="majorBidi"/>
      <w:sz w:val="32"/>
      <w:szCs w:val="32"/>
    </w:rPr>
  </w:style>
  <w:style w:type="character" w:customStyle="1" w:styleId="20">
    <w:name w:val="見出し 2 (文字)"/>
    <w:basedOn w:val="a0"/>
    <w:link w:val="2"/>
    <w:uiPriority w:val="9"/>
    <w:rsid w:val="00C03A31"/>
    <w:rPr>
      <w:rFonts w:asciiTheme="majorHAnsi" w:eastAsiaTheme="majorEastAsia" w:hAnsiTheme="majorHAnsi" w:cstheme="majorBidi"/>
    </w:rPr>
  </w:style>
  <w:style w:type="character" w:customStyle="1" w:styleId="10">
    <w:name w:val="見出し 1 (文字)"/>
    <w:basedOn w:val="a0"/>
    <w:link w:val="1"/>
    <w:uiPriority w:val="9"/>
    <w:rsid w:val="00C03A31"/>
    <w:rPr>
      <w:rFonts w:asciiTheme="majorHAnsi" w:eastAsiaTheme="majorEastAsia" w:hAnsiTheme="majorHAnsi" w:cstheme="majorBidi"/>
      <w:sz w:val="24"/>
      <w:szCs w:val="24"/>
    </w:rPr>
  </w:style>
  <w:style w:type="character" w:customStyle="1" w:styleId="30">
    <w:name w:val="見出し 3 (文字)"/>
    <w:basedOn w:val="a0"/>
    <w:link w:val="3"/>
    <w:uiPriority w:val="9"/>
    <w:rsid w:val="00C03A31"/>
    <w:rPr>
      <w:rFonts w:asciiTheme="majorHAnsi" w:eastAsiaTheme="majorEastAsia" w:hAnsiTheme="majorHAnsi" w:cstheme="majorBidi"/>
    </w:rPr>
  </w:style>
  <w:style w:type="paragraph" w:styleId="a5">
    <w:name w:val="List Paragraph"/>
    <w:basedOn w:val="a"/>
    <w:uiPriority w:val="34"/>
    <w:qFormat/>
    <w:rsid w:val="00C03A31"/>
    <w:pPr>
      <w:ind w:leftChars="400" w:left="840"/>
    </w:pPr>
  </w:style>
  <w:style w:type="paragraph" w:styleId="a6">
    <w:name w:val="footnote text"/>
    <w:basedOn w:val="a"/>
    <w:link w:val="a7"/>
    <w:uiPriority w:val="99"/>
    <w:semiHidden/>
    <w:unhideWhenUsed/>
    <w:rsid w:val="00CB6A97"/>
    <w:pPr>
      <w:snapToGrid w:val="0"/>
      <w:jc w:val="left"/>
    </w:pPr>
  </w:style>
  <w:style w:type="character" w:customStyle="1" w:styleId="a7">
    <w:name w:val="脚注文字列 (文字)"/>
    <w:basedOn w:val="a0"/>
    <w:link w:val="a6"/>
    <w:uiPriority w:val="99"/>
    <w:semiHidden/>
    <w:rsid w:val="00CB6A97"/>
  </w:style>
  <w:style w:type="character" w:styleId="a8">
    <w:name w:val="footnote reference"/>
    <w:basedOn w:val="a0"/>
    <w:uiPriority w:val="99"/>
    <w:semiHidden/>
    <w:unhideWhenUsed/>
    <w:rsid w:val="00CB6A97"/>
    <w:rPr>
      <w:vertAlign w:val="superscript"/>
    </w:rPr>
  </w:style>
  <w:style w:type="character" w:styleId="a9">
    <w:name w:val="Hyperlink"/>
    <w:basedOn w:val="a0"/>
    <w:uiPriority w:val="99"/>
    <w:unhideWhenUsed/>
    <w:rsid w:val="00CB6A97"/>
    <w:rPr>
      <w:color w:val="0563C1" w:themeColor="hyperlink"/>
      <w:u w:val="single"/>
    </w:rPr>
  </w:style>
  <w:style w:type="character" w:styleId="aa">
    <w:name w:val="Unresolved Mention"/>
    <w:basedOn w:val="a0"/>
    <w:uiPriority w:val="99"/>
    <w:semiHidden/>
    <w:unhideWhenUsed/>
    <w:rsid w:val="00CB6A97"/>
    <w:rPr>
      <w:color w:val="605E5C"/>
      <w:shd w:val="clear" w:color="auto" w:fill="E1DFDD"/>
    </w:rPr>
  </w:style>
  <w:style w:type="character" w:styleId="ab">
    <w:name w:val="annotation reference"/>
    <w:basedOn w:val="a0"/>
    <w:uiPriority w:val="99"/>
    <w:semiHidden/>
    <w:unhideWhenUsed/>
    <w:rsid w:val="0001773F"/>
    <w:rPr>
      <w:sz w:val="18"/>
      <w:szCs w:val="18"/>
    </w:rPr>
  </w:style>
  <w:style w:type="paragraph" w:styleId="ac">
    <w:name w:val="annotation text"/>
    <w:basedOn w:val="a"/>
    <w:link w:val="ad"/>
    <w:uiPriority w:val="99"/>
    <w:unhideWhenUsed/>
    <w:rsid w:val="0001773F"/>
    <w:pPr>
      <w:jc w:val="left"/>
    </w:pPr>
  </w:style>
  <w:style w:type="character" w:customStyle="1" w:styleId="ad">
    <w:name w:val="コメント文字列 (文字)"/>
    <w:basedOn w:val="a0"/>
    <w:link w:val="ac"/>
    <w:uiPriority w:val="99"/>
    <w:rsid w:val="0001773F"/>
  </w:style>
  <w:style w:type="paragraph" w:styleId="ae">
    <w:name w:val="annotation subject"/>
    <w:basedOn w:val="ac"/>
    <w:next w:val="ac"/>
    <w:link w:val="af"/>
    <w:uiPriority w:val="99"/>
    <w:semiHidden/>
    <w:unhideWhenUsed/>
    <w:rsid w:val="0001773F"/>
    <w:rPr>
      <w:b/>
      <w:bCs/>
    </w:rPr>
  </w:style>
  <w:style w:type="character" w:customStyle="1" w:styleId="af">
    <w:name w:val="コメント内容 (文字)"/>
    <w:basedOn w:val="ad"/>
    <w:link w:val="ae"/>
    <w:uiPriority w:val="99"/>
    <w:semiHidden/>
    <w:rsid w:val="0001773F"/>
    <w:rPr>
      <w:b/>
      <w:bCs/>
    </w:rPr>
  </w:style>
  <w:style w:type="table" w:styleId="af0">
    <w:name w:val="Table Grid"/>
    <w:basedOn w:val="a1"/>
    <w:uiPriority w:val="39"/>
    <w:rsid w:val="00017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017503"/>
    <w:rPr>
      <w:color w:val="808080"/>
    </w:rPr>
  </w:style>
  <w:style w:type="paragraph" w:styleId="af2">
    <w:name w:val="header"/>
    <w:basedOn w:val="a"/>
    <w:link w:val="af3"/>
    <w:uiPriority w:val="99"/>
    <w:unhideWhenUsed/>
    <w:rsid w:val="00A2567D"/>
    <w:pPr>
      <w:tabs>
        <w:tab w:val="center" w:pos="4252"/>
        <w:tab w:val="right" w:pos="8504"/>
      </w:tabs>
      <w:snapToGrid w:val="0"/>
    </w:pPr>
  </w:style>
  <w:style w:type="character" w:customStyle="1" w:styleId="af3">
    <w:name w:val="ヘッダー (文字)"/>
    <w:basedOn w:val="a0"/>
    <w:link w:val="af2"/>
    <w:uiPriority w:val="99"/>
    <w:rsid w:val="00A2567D"/>
  </w:style>
  <w:style w:type="paragraph" w:styleId="af4">
    <w:name w:val="footer"/>
    <w:basedOn w:val="a"/>
    <w:link w:val="af5"/>
    <w:uiPriority w:val="99"/>
    <w:unhideWhenUsed/>
    <w:rsid w:val="00A2567D"/>
    <w:pPr>
      <w:tabs>
        <w:tab w:val="center" w:pos="4252"/>
        <w:tab w:val="right" w:pos="8504"/>
      </w:tabs>
      <w:snapToGrid w:val="0"/>
    </w:pPr>
  </w:style>
  <w:style w:type="character" w:customStyle="1" w:styleId="af5">
    <w:name w:val="フッター (文字)"/>
    <w:basedOn w:val="a0"/>
    <w:link w:val="af4"/>
    <w:uiPriority w:val="99"/>
    <w:rsid w:val="00A25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16696">
      <w:bodyDiv w:val="1"/>
      <w:marLeft w:val="0"/>
      <w:marRight w:val="0"/>
      <w:marTop w:val="0"/>
      <w:marBottom w:val="0"/>
      <w:divBdr>
        <w:top w:val="none" w:sz="0" w:space="0" w:color="auto"/>
        <w:left w:val="none" w:sz="0" w:space="0" w:color="auto"/>
        <w:bottom w:val="none" w:sz="0" w:space="0" w:color="auto"/>
        <w:right w:val="none" w:sz="0" w:space="0" w:color="auto"/>
      </w:divBdr>
    </w:div>
    <w:div w:id="132292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ja.wikipedia.org/wiki/%E3%82%A8%E3%82%B3%E3%83%8E%E3%83%9F%E3%83%83%E3%82%AF%E3%82%AD%E3%83%A3%E3%83%94%E3%82%BF%E3%83%A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BEF81-D4D8-46D8-A2CB-5F980CC3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2021-10-28T07:02:00Z</dcterms:created>
  <dcterms:modified xsi:type="dcterms:W3CDTF">2021-10-28T07:02:00Z</dcterms:modified>
</cp:coreProperties>
</file>