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C8885" w14:textId="4C99A2A8" w:rsidR="00933B49" w:rsidRDefault="00C83AB3" w:rsidP="00C83AB3">
      <w:pPr>
        <w:jc w:val="center"/>
      </w:pPr>
      <w:r>
        <w:rPr>
          <w:rFonts w:hint="eastAsia"/>
        </w:rPr>
        <w:t>ESG投資に関する調査・研究</w:t>
      </w:r>
    </w:p>
    <w:p w14:paraId="449D1EE1" w14:textId="20E2430C" w:rsidR="00C83AB3" w:rsidRDefault="00C83AB3" w:rsidP="00C83AB3">
      <w:pPr>
        <w:pStyle w:val="a3"/>
        <w:numPr>
          <w:ilvl w:val="0"/>
          <w:numId w:val="2"/>
        </w:numPr>
        <w:ind w:leftChars="0"/>
        <w:jc w:val="left"/>
      </w:pPr>
      <w:r>
        <w:rPr>
          <w:rFonts w:hint="eastAsia"/>
        </w:rPr>
        <w:t>はじめに</w:t>
      </w:r>
    </w:p>
    <w:p w14:paraId="2332DC28" w14:textId="4BCC9492" w:rsidR="00C83AB3" w:rsidRDefault="00C83AB3" w:rsidP="00C83AB3">
      <w:pPr>
        <w:jc w:val="left"/>
      </w:pPr>
      <w:r>
        <w:rPr>
          <w:rFonts w:hint="eastAsia"/>
        </w:rPr>
        <w:t>・なんでESGにしたのか</w:t>
      </w:r>
    </w:p>
    <w:p w14:paraId="2C6E4EF6" w14:textId="2478C43E" w:rsidR="00C83AB3" w:rsidRDefault="00C83AB3" w:rsidP="00C83AB3">
      <w:pPr>
        <w:pStyle w:val="a3"/>
        <w:numPr>
          <w:ilvl w:val="0"/>
          <w:numId w:val="2"/>
        </w:numPr>
        <w:ind w:leftChars="0"/>
        <w:jc w:val="left"/>
      </w:pPr>
      <w:r>
        <w:rPr>
          <w:rFonts w:hint="eastAsia"/>
        </w:rPr>
        <w:t>ESG投資の概要</w:t>
      </w:r>
    </w:p>
    <w:p w14:paraId="57689270" w14:textId="033F7D3F" w:rsidR="00E40D0D" w:rsidRDefault="00C83AB3" w:rsidP="00BC789C">
      <w:pPr>
        <w:pStyle w:val="a3"/>
        <w:numPr>
          <w:ilvl w:val="1"/>
          <w:numId w:val="2"/>
        </w:numPr>
        <w:ind w:leftChars="0"/>
        <w:jc w:val="left"/>
      </w:pPr>
      <w:r>
        <w:rPr>
          <w:rFonts w:hint="eastAsia"/>
        </w:rPr>
        <w:t>ESG投資の概要と背景</w:t>
      </w:r>
    </w:p>
    <w:p w14:paraId="34FC052F" w14:textId="6DB2A487" w:rsidR="0004274D" w:rsidRDefault="0004274D" w:rsidP="0004274D">
      <w:pPr>
        <w:pStyle w:val="a3"/>
        <w:ind w:leftChars="0" w:left="567" w:firstLineChars="100" w:firstLine="210"/>
        <w:jc w:val="left"/>
      </w:pPr>
      <w:r>
        <w:rPr>
          <w:rFonts w:hint="eastAsia"/>
        </w:rPr>
        <w:t>ESGとは環境（</w:t>
      </w:r>
      <w:r>
        <w:t>Environment</w:t>
      </w:r>
      <w:r>
        <w:rPr>
          <w:rFonts w:hint="eastAsia"/>
        </w:rPr>
        <w:t>）、社会(</w:t>
      </w:r>
      <w:r>
        <w:t>Social)</w:t>
      </w:r>
      <w:r>
        <w:rPr>
          <w:rFonts w:hint="eastAsia"/>
        </w:rPr>
        <w:t>、ガバナンス（g</w:t>
      </w:r>
      <w:r>
        <w:t>overnance</w:t>
      </w:r>
      <w:r>
        <w:rPr>
          <w:rFonts w:hint="eastAsia"/>
        </w:rPr>
        <w:t>）の3つの頭文字をとったも</w:t>
      </w:r>
      <w:r w:rsidR="007E2D42">
        <w:rPr>
          <w:rFonts w:hint="eastAsia"/>
        </w:rPr>
        <w:t>のであり、例えばEとして温暖化対策、Sとして働きやすさ、Gとして取締役の構成等を示す。</w:t>
      </w:r>
      <w:r>
        <w:rPr>
          <w:rFonts w:hint="eastAsia"/>
        </w:rPr>
        <w:t>ESGを考慮した投資をESG投資と</w:t>
      </w:r>
      <w:r w:rsidR="0096763C">
        <w:rPr>
          <w:rFonts w:hint="eastAsia"/>
        </w:rPr>
        <w:t>言い</w:t>
      </w:r>
      <w:r w:rsidR="00846EA5">
        <w:rPr>
          <w:rFonts w:hint="eastAsia"/>
        </w:rPr>
        <w:t>、近年関心が高まっている。</w:t>
      </w:r>
    </w:p>
    <w:p w14:paraId="1E4C5666" w14:textId="2F14B658" w:rsidR="00791535" w:rsidRPr="00154DFF" w:rsidRDefault="0096763C" w:rsidP="00791535">
      <w:pPr>
        <w:pStyle w:val="a3"/>
        <w:ind w:leftChars="0" w:left="567" w:firstLineChars="100" w:firstLine="210"/>
        <w:jc w:val="left"/>
      </w:pPr>
      <w:r>
        <w:rPr>
          <w:rFonts w:hint="eastAsia"/>
        </w:rPr>
        <w:t>ESG</w:t>
      </w:r>
      <w:r w:rsidRPr="00791535">
        <w:rPr>
          <w:rFonts w:hint="eastAsia"/>
        </w:rPr>
        <w:t>投資は</w:t>
      </w:r>
      <w:r>
        <w:rPr>
          <w:rFonts w:hint="eastAsia"/>
        </w:rPr>
        <w:t>2006年に国際</w:t>
      </w:r>
      <w:r w:rsidR="00E11FFF">
        <w:rPr>
          <w:rFonts w:hint="eastAsia"/>
        </w:rPr>
        <w:t>連合が策定した</w:t>
      </w:r>
      <w:r>
        <w:rPr>
          <w:rFonts w:hint="eastAsia"/>
        </w:rPr>
        <w:t>責任投資原則（PRI）の中で初めて提唱され</w:t>
      </w:r>
      <w:r w:rsidR="00E11FFF">
        <w:rPr>
          <w:rFonts w:hint="eastAsia"/>
        </w:rPr>
        <w:t>た後、注目を集めてきた。PRIの内容は</w:t>
      </w:r>
      <w:r w:rsidR="00E11FFF" w:rsidRPr="00791535">
        <w:fldChar w:fldCharType="begin"/>
      </w:r>
      <w:r w:rsidR="00E11FFF" w:rsidRPr="00791535">
        <w:instrText xml:space="preserve"> </w:instrText>
      </w:r>
      <w:r w:rsidR="00E11FFF" w:rsidRPr="00791535">
        <w:rPr>
          <w:rFonts w:hint="eastAsia"/>
        </w:rPr>
        <w:instrText>REF _Ref60316791 \h</w:instrText>
      </w:r>
      <w:r w:rsidR="00E11FFF" w:rsidRPr="00791535">
        <w:instrText xml:space="preserve">  \* MERGEFORMAT </w:instrText>
      </w:r>
      <w:r w:rsidR="00E11FFF" w:rsidRPr="00791535">
        <w:fldChar w:fldCharType="separate"/>
      </w:r>
      <w:r w:rsidR="00E11FFF" w:rsidRPr="00791535">
        <w:t xml:space="preserve">図 </w:t>
      </w:r>
      <w:r w:rsidR="00E11FFF" w:rsidRPr="00791535">
        <w:rPr>
          <w:noProof/>
        </w:rPr>
        <w:t>1</w:t>
      </w:r>
      <w:r w:rsidR="00E11FFF" w:rsidRPr="00791535">
        <w:fldChar w:fldCharType="end"/>
      </w:r>
      <w:r w:rsidR="00E11FFF">
        <w:rPr>
          <w:rFonts w:hint="eastAsia"/>
        </w:rPr>
        <w:t>の通りであり</w:t>
      </w:r>
      <w:r w:rsidR="00154DFF">
        <w:rPr>
          <w:rFonts w:hint="eastAsia"/>
        </w:rPr>
        <w:t>、初めの3つの原則でESGについて言及している。</w:t>
      </w:r>
    </w:p>
    <w:p w14:paraId="5B4AB710" w14:textId="77777777" w:rsidR="00791535" w:rsidRDefault="00791535" w:rsidP="00791535">
      <w:pPr>
        <w:pStyle w:val="a3"/>
        <w:keepNext/>
        <w:ind w:leftChars="0" w:left="567" w:firstLineChars="100" w:firstLine="210"/>
        <w:jc w:val="center"/>
      </w:pPr>
      <w:r>
        <w:rPr>
          <w:rFonts w:hint="eastAsia"/>
          <w:noProof/>
        </w:rPr>
        <w:drawing>
          <wp:inline distT="0" distB="0" distL="0" distR="0" wp14:anchorId="4C7D45DA" wp14:editId="7CED870C">
            <wp:extent cx="3172915" cy="3185233"/>
            <wp:effectExtent l="0" t="0" r="889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2328" cy="3194683"/>
                    </a:xfrm>
                    <a:prstGeom prst="rect">
                      <a:avLst/>
                    </a:prstGeom>
                    <a:noFill/>
                    <a:ln>
                      <a:noFill/>
                    </a:ln>
                  </pic:spPr>
                </pic:pic>
              </a:graphicData>
            </a:graphic>
          </wp:inline>
        </w:drawing>
      </w:r>
    </w:p>
    <w:p w14:paraId="62B8B0C3" w14:textId="0369D81F" w:rsidR="00846EA5" w:rsidRPr="00791535" w:rsidRDefault="00791535" w:rsidP="00791535">
      <w:pPr>
        <w:pStyle w:val="a4"/>
        <w:jc w:val="center"/>
        <w:rPr>
          <w:b w:val="0"/>
          <w:bCs w:val="0"/>
        </w:rPr>
      </w:pPr>
      <w:bookmarkStart w:id="0" w:name="_Ref60316791"/>
      <w:r w:rsidRPr="00791535">
        <w:rPr>
          <w:b w:val="0"/>
          <w:bCs w:val="0"/>
        </w:rPr>
        <w:t xml:space="preserve">図 </w:t>
      </w:r>
      <w:r w:rsidRPr="00791535">
        <w:rPr>
          <w:b w:val="0"/>
          <w:bCs w:val="0"/>
        </w:rPr>
        <w:fldChar w:fldCharType="begin"/>
      </w:r>
      <w:r w:rsidRPr="00791535">
        <w:rPr>
          <w:b w:val="0"/>
          <w:bCs w:val="0"/>
        </w:rPr>
        <w:instrText xml:space="preserve"> SEQ 図 \* ARABIC </w:instrText>
      </w:r>
      <w:r w:rsidRPr="00791535">
        <w:rPr>
          <w:b w:val="0"/>
          <w:bCs w:val="0"/>
        </w:rPr>
        <w:fldChar w:fldCharType="separate"/>
      </w:r>
      <w:r w:rsidRPr="00791535">
        <w:rPr>
          <w:b w:val="0"/>
          <w:bCs w:val="0"/>
          <w:noProof/>
        </w:rPr>
        <w:t>1</w:t>
      </w:r>
      <w:r w:rsidRPr="00791535">
        <w:rPr>
          <w:b w:val="0"/>
          <w:bCs w:val="0"/>
        </w:rPr>
        <w:fldChar w:fldCharType="end"/>
      </w:r>
      <w:bookmarkEnd w:id="0"/>
      <w:r w:rsidRPr="00791535">
        <w:rPr>
          <w:rFonts w:hint="eastAsia"/>
          <w:b w:val="0"/>
          <w:bCs w:val="0"/>
        </w:rPr>
        <w:t xml:space="preserve">　PRI原則</w:t>
      </w:r>
    </w:p>
    <w:p w14:paraId="266D0ABC" w14:textId="3232DAC4" w:rsidR="00621772" w:rsidRDefault="00DD3C54" w:rsidP="00621772">
      <w:pPr>
        <w:pStyle w:val="a3"/>
        <w:ind w:leftChars="0" w:left="567" w:firstLineChars="100" w:firstLine="210"/>
      </w:pPr>
      <w:r>
        <w:rPr>
          <w:rFonts w:hint="eastAsia"/>
        </w:rPr>
        <w:t>ESGへの関心が高まった理由としては気候変動やSDGｓ等を背景としたE関連の動きとG関連の取り組みの進展がとなっている</w:t>
      </w:r>
      <w:r w:rsidR="00621772">
        <w:rPr>
          <w:rFonts w:hint="eastAsia"/>
        </w:rPr>
        <w:t>。以下に主な理由について記載する。</w:t>
      </w:r>
    </w:p>
    <w:p w14:paraId="75A019C3" w14:textId="56F14B3B" w:rsidR="00BC789C" w:rsidRDefault="00621772" w:rsidP="00E11FFF">
      <w:pPr>
        <w:jc w:val="left"/>
      </w:pPr>
      <w:r>
        <w:tab/>
      </w:r>
    </w:p>
    <w:p w14:paraId="01DFF2E6" w14:textId="368911DC" w:rsidR="00621772" w:rsidRDefault="00621772" w:rsidP="00621772">
      <w:pPr>
        <w:pStyle w:val="a3"/>
        <w:numPr>
          <w:ilvl w:val="0"/>
          <w:numId w:val="4"/>
        </w:numPr>
        <w:ind w:leftChars="0"/>
        <w:jc w:val="left"/>
      </w:pPr>
      <w:r>
        <w:rPr>
          <w:rFonts w:hint="eastAsia"/>
        </w:rPr>
        <w:t>コーポレートガバナンスの重視</w:t>
      </w:r>
    </w:p>
    <w:p w14:paraId="437EEB5B" w14:textId="5469CD23" w:rsidR="00E64B0F" w:rsidRDefault="00E64B0F" w:rsidP="00E64B0F">
      <w:pPr>
        <w:pStyle w:val="a3"/>
        <w:numPr>
          <w:ilvl w:val="1"/>
          <w:numId w:val="4"/>
        </w:numPr>
        <w:ind w:leftChars="0"/>
        <w:jc w:val="left"/>
      </w:pPr>
      <w:r>
        <w:rPr>
          <w:rFonts w:hint="eastAsia"/>
        </w:rPr>
        <w:t>アベノミクスのもと実施されたコーポレートガバナンスを重視した政策が</w:t>
      </w:r>
      <w:r w:rsidR="004A7FAA">
        <w:rPr>
          <w:rFonts w:hint="eastAsia"/>
        </w:rPr>
        <w:t>海外投資家の評価を得た。</w:t>
      </w:r>
    </w:p>
    <w:p w14:paraId="79EFA8B4" w14:textId="486E2B16" w:rsidR="004A7FAA" w:rsidRDefault="004A7FAA" w:rsidP="00E64B0F">
      <w:pPr>
        <w:pStyle w:val="a3"/>
        <w:numPr>
          <w:ilvl w:val="1"/>
          <w:numId w:val="4"/>
        </w:numPr>
        <w:ind w:leftChars="0"/>
        <w:jc w:val="left"/>
      </w:pPr>
      <w:r>
        <w:rPr>
          <w:rFonts w:hint="eastAsia"/>
        </w:rPr>
        <w:t>2015年には金融庁・東京証券取引所が上場企業を対象として「コーポレートガバナンス・コード」を策定した。</w:t>
      </w:r>
    </w:p>
    <w:p w14:paraId="7D294893" w14:textId="13726D2F" w:rsidR="00621772" w:rsidRDefault="00424624" w:rsidP="00621772">
      <w:pPr>
        <w:pStyle w:val="a3"/>
        <w:numPr>
          <w:ilvl w:val="0"/>
          <w:numId w:val="4"/>
        </w:numPr>
        <w:ind w:leftChars="0"/>
        <w:jc w:val="left"/>
      </w:pPr>
      <w:r>
        <w:rPr>
          <w:rFonts w:hint="eastAsia"/>
        </w:rPr>
        <w:t>スチュワードシップ・コードへの明記</w:t>
      </w:r>
    </w:p>
    <w:p w14:paraId="5F1857ED" w14:textId="19A22364" w:rsidR="003B3D14" w:rsidRDefault="007C7D24" w:rsidP="003B3D14">
      <w:pPr>
        <w:pStyle w:val="a3"/>
        <w:numPr>
          <w:ilvl w:val="0"/>
          <w:numId w:val="6"/>
        </w:numPr>
        <w:ind w:leftChars="0"/>
        <w:jc w:val="left"/>
      </w:pPr>
      <w:r>
        <w:rPr>
          <w:rFonts w:hint="eastAsia"/>
        </w:rPr>
        <w:lastRenderedPageBreak/>
        <w:t>2017年「責任のある機関投資家の諸原則（日本版スチュワードシップ・コード）」</w:t>
      </w:r>
      <w:r w:rsidR="000467FD">
        <w:rPr>
          <w:rStyle w:val="a7"/>
        </w:rPr>
        <w:footnoteReference w:id="1"/>
      </w:r>
      <w:r>
        <w:rPr>
          <w:rFonts w:hint="eastAsia"/>
        </w:rPr>
        <w:t>の改訂版でESG要素の考慮が明記された。</w:t>
      </w:r>
    </w:p>
    <w:p w14:paraId="20225F66" w14:textId="3BFBD4AB" w:rsidR="00424624" w:rsidRDefault="00424624" w:rsidP="00621772">
      <w:pPr>
        <w:pStyle w:val="a3"/>
        <w:numPr>
          <w:ilvl w:val="0"/>
          <w:numId w:val="4"/>
        </w:numPr>
        <w:ind w:leftChars="0"/>
        <w:jc w:val="left"/>
      </w:pPr>
      <w:r>
        <w:rPr>
          <w:rFonts w:hint="eastAsia"/>
        </w:rPr>
        <w:t>GPIF</w:t>
      </w:r>
      <w:r w:rsidR="003B3D14">
        <w:rPr>
          <w:rFonts w:hint="eastAsia"/>
        </w:rPr>
        <w:t>（年金積立金管理運用独立行政法人）</w:t>
      </w:r>
      <w:r>
        <w:rPr>
          <w:rFonts w:hint="eastAsia"/>
        </w:rPr>
        <w:t>によるESG指標の採用</w:t>
      </w:r>
    </w:p>
    <w:p w14:paraId="005EA9C3" w14:textId="7D566389" w:rsidR="003B3D14" w:rsidRDefault="003B3D14" w:rsidP="003B3D14">
      <w:pPr>
        <w:pStyle w:val="a3"/>
        <w:numPr>
          <w:ilvl w:val="0"/>
          <w:numId w:val="6"/>
        </w:numPr>
        <w:ind w:leftChars="0"/>
        <w:jc w:val="left"/>
      </w:pPr>
      <w:r>
        <w:rPr>
          <w:rFonts w:hint="eastAsia"/>
        </w:rPr>
        <w:t>2015年にGPIFがPRIに署名し、2017年7月には運用に際して「ESG指数」</w:t>
      </w:r>
      <w:r w:rsidR="008E0A96">
        <w:rPr>
          <w:rStyle w:val="a7"/>
        </w:rPr>
        <w:footnoteReference w:id="2"/>
      </w:r>
      <w:r>
        <w:rPr>
          <w:rFonts w:hint="eastAsia"/>
        </w:rPr>
        <w:t>を採用する事を表明。</w:t>
      </w:r>
    </w:p>
    <w:p w14:paraId="3C391468" w14:textId="6726CE1F" w:rsidR="003B3D14" w:rsidRDefault="003B3D14" w:rsidP="003B3D14">
      <w:pPr>
        <w:pStyle w:val="a3"/>
        <w:numPr>
          <w:ilvl w:val="0"/>
          <w:numId w:val="6"/>
        </w:numPr>
        <w:ind w:leftChars="0"/>
        <w:jc w:val="left"/>
      </w:pPr>
      <w:r>
        <w:rPr>
          <w:rFonts w:hint="eastAsia"/>
        </w:rPr>
        <w:t>2017年10月には投資運用原則を改正し、全ての資産でESG要素を考慮した投資を進める事を表明。</w:t>
      </w:r>
    </w:p>
    <w:p w14:paraId="1CDDE4E9" w14:textId="1B11D4BA" w:rsidR="00424624" w:rsidRDefault="00424624" w:rsidP="00621772">
      <w:pPr>
        <w:pStyle w:val="a3"/>
        <w:numPr>
          <w:ilvl w:val="0"/>
          <w:numId w:val="4"/>
        </w:numPr>
        <w:ind w:leftChars="0"/>
        <w:jc w:val="left"/>
      </w:pPr>
      <w:r>
        <w:rPr>
          <w:rFonts w:hint="eastAsia"/>
        </w:rPr>
        <w:t>SDG</w:t>
      </w:r>
      <w:r>
        <w:t>s</w:t>
      </w:r>
      <w:r>
        <w:rPr>
          <w:rFonts w:hint="eastAsia"/>
        </w:rPr>
        <w:t>に対する意識の高まり</w:t>
      </w:r>
    </w:p>
    <w:p w14:paraId="42218566" w14:textId="51C405F5" w:rsidR="00D76E3A" w:rsidRDefault="00D76E3A" w:rsidP="00D76E3A">
      <w:pPr>
        <w:pStyle w:val="a3"/>
        <w:numPr>
          <w:ilvl w:val="0"/>
          <w:numId w:val="7"/>
        </w:numPr>
        <w:ind w:leftChars="0"/>
        <w:jc w:val="left"/>
      </w:pPr>
      <w:r>
        <w:rPr>
          <w:rFonts w:hint="eastAsia"/>
        </w:rPr>
        <w:t>GPIFによると企業がSDG</w:t>
      </w:r>
      <w:r>
        <w:t>s</w:t>
      </w:r>
      <w:r>
        <w:rPr>
          <w:rFonts w:hint="eastAsia"/>
        </w:rPr>
        <w:t>に取り組み、</w:t>
      </w:r>
      <w:r w:rsidR="00C61342">
        <w:rPr>
          <w:rFonts w:hint="eastAsia"/>
        </w:rPr>
        <w:t>このような企業に投資する事がESG投資であるとしている。</w:t>
      </w:r>
    </w:p>
    <w:p w14:paraId="682575D9" w14:textId="6EB93BBC" w:rsidR="00C61342" w:rsidRDefault="00C61342" w:rsidP="00D76E3A">
      <w:pPr>
        <w:pStyle w:val="a3"/>
        <w:numPr>
          <w:ilvl w:val="0"/>
          <w:numId w:val="7"/>
        </w:numPr>
        <w:ind w:leftChars="0"/>
        <w:jc w:val="left"/>
      </w:pPr>
      <w:r>
        <w:rPr>
          <w:rFonts w:hint="eastAsia"/>
        </w:rPr>
        <w:t>2015年9月には国連加盟1</w:t>
      </w:r>
      <w:r>
        <w:t>93</w:t>
      </w:r>
      <w:r>
        <w:rPr>
          <w:rFonts w:hint="eastAsia"/>
        </w:rPr>
        <w:t>ヵ国すべてがSDG</w:t>
      </w:r>
      <w:r>
        <w:t>s</w:t>
      </w:r>
      <w:r>
        <w:rPr>
          <w:rFonts w:hint="eastAsia"/>
        </w:rPr>
        <w:t>に合意・採択</w:t>
      </w:r>
    </w:p>
    <w:p w14:paraId="751877E8" w14:textId="0252A34B" w:rsidR="00C83AB3" w:rsidRDefault="00424624" w:rsidP="00962093">
      <w:pPr>
        <w:pStyle w:val="a3"/>
        <w:numPr>
          <w:ilvl w:val="0"/>
          <w:numId w:val="4"/>
        </w:numPr>
        <w:ind w:leftChars="0"/>
        <w:jc w:val="left"/>
      </w:pPr>
      <w:r>
        <w:rPr>
          <w:rFonts w:hint="eastAsia"/>
        </w:rPr>
        <w:t>気候関連財務情報開示タスクフォース提言</w:t>
      </w:r>
      <w:r w:rsidR="00962093">
        <w:rPr>
          <w:rFonts w:hint="eastAsia"/>
        </w:rPr>
        <w:t>等</w:t>
      </w:r>
    </w:p>
    <w:p w14:paraId="374F1477" w14:textId="0DD11490" w:rsidR="00962093" w:rsidRDefault="00962093" w:rsidP="00962093">
      <w:pPr>
        <w:pStyle w:val="a3"/>
        <w:numPr>
          <w:ilvl w:val="0"/>
          <w:numId w:val="10"/>
        </w:numPr>
        <w:ind w:leftChars="0"/>
        <w:jc w:val="left"/>
      </w:pPr>
      <w:r>
        <w:rPr>
          <w:rFonts w:hint="eastAsia"/>
        </w:rPr>
        <w:t>金融安定化理事会によって設置された民間主体で構成されたタスクフォース</w:t>
      </w:r>
    </w:p>
    <w:p w14:paraId="5D40FACC" w14:textId="076F5BF8" w:rsidR="00C83AB3" w:rsidRDefault="00C83AB3" w:rsidP="00C83AB3">
      <w:pPr>
        <w:pStyle w:val="a3"/>
        <w:numPr>
          <w:ilvl w:val="1"/>
          <w:numId w:val="2"/>
        </w:numPr>
        <w:ind w:leftChars="0"/>
        <w:jc w:val="left"/>
      </w:pPr>
      <w:r>
        <w:rPr>
          <w:rFonts w:hint="eastAsia"/>
        </w:rPr>
        <w:t>ESG指標の種類</w:t>
      </w:r>
    </w:p>
    <w:p w14:paraId="5627E2FA" w14:textId="49BBBBAC" w:rsidR="00C83AB3" w:rsidRDefault="00C83AB3" w:rsidP="00C83AB3">
      <w:pPr>
        <w:pStyle w:val="a3"/>
        <w:numPr>
          <w:ilvl w:val="0"/>
          <w:numId w:val="3"/>
        </w:numPr>
        <w:ind w:leftChars="0"/>
        <w:jc w:val="left"/>
      </w:pPr>
      <w:r>
        <w:rPr>
          <w:rFonts w:hint="eastAsia"/>
        </w:rPr>
        <w:t>「ESG開示スコア」「ESGスコア」の意味</w:t>
      </w:r>
    </w:p>
    <w:p w14:paraId="4C25F4C3" w14:textId="1041E9B6" w:rsidR="00C83AB3" w:rsidRDefault="00C83AB3" w:rsidP="00C83AB3">
      <w:pPr>
        <w:pStyle w:val="a3"/>
        <w:numPr>
          <w:ilvl w:val="0"/>
          <w:numId w:val="3"/>
        </w:numPr>
        <w:ind w:leftChars="0"/>
        <w:jc w:val="left"/>
      </w:pPr>
      <w:r>
        <w:rPr>
          <w:rFonts w:hint="eastAsia"/>
        </w:rPr>
        <w:t>スコアの種類と特徴・取得可能かどうか</w:t>
      </w:r>
    </w:p>
    <w:p w14:paraId="051BC3F8" w14:textId="4BAFAE1A" w:rsidR="00C83AB3" w:rsidRDefault="00C83AB3" w:rsidP="00C83AB3">
      <w:pPr>
        <w:pStyle w:val="a3"/>
        <w:numPr>
          <w:ilvl w:val="1"/>
          <w:numId w:val="2"/>
        </w:numPr>
        <w:ind w:leftChars="0"/>
        <w:jc w:val="left"/>
      </w:pPr>
      <w:r>
        <w:rPr>
          <w:rFonts w:hint="eastAsia"/>
        </w:rPr>
        <w:t>代表的な投資手法</w:t>
      </w:r>
    </w:p>
    <w:p w14:paraId="2DB7041F" w14:textId="42D8E2BA" w:rsidR="00C83AB3" w:rsidRDefault="00C83AB3" w:rsidP="00C83AB3">
      <w:pPr>
        <w:pStyle w:val="a3"/>
        <w:numPr>
          <w:ilvl w:val="0"/>
          <w:numId w:val="3"/>
        </w:numPr>
        <w:ind w:leftChars="0"/>
        <w:jc w:val="left"/>
      </w:pPr>
      <w:r>
        <w:rPr>
          <w:rFonts w:hint="eastAsia"/>
        </w:rPr>
        <w:t>代表的な投資手法の説明（ネガティブ・スクリーニング等）</w:t>
      </w:r>
    </w:p>
    <w:p w14:paraId="157ED06A" w14:textId="493BCCEA" w:rsidR="00C83AB3" w:rsidRDefault="00C83AB3" w:rsidP="00C83AB3">
      <w:pPr>
        <w:pStyle w:val="a3"/>
        <w:numPr>
          <w:ilvl w:val="0"/>
          <w:numId w:val="3"/>
        </w:numPr>
        <w:ind w:leftChars="0"/>
        <w:jc w:val="left"/>
      </w:pPr>
      <w:r>
        <w:rPr>
          <w:rFonts w:hint="eastAsia"/>
        </w:rPr>
        <w:t>投資対象について</w:t>
      </w:r>
    </w:p>
    <w:p w14:paraId="2987C394" w14:textId="163106C6" w:rsidR="00C83AB3" w:rsidRDefault="00C83AB3" w:rsidP="00C83AB3">
      <w:pPr>
        <w:pStyle w:val="a3"/>
        <w:numPr>
          <w:ilvl w:val="1"/>
          <w:numId w:val="2"/>
        </w:numPr>
        <w:ind w:leftChars="0"/>
        <w:jc w:val="left"/>
      </w:pPr>
      <w:r>
        <w:rPr>
          <w:rFonts w:hint="eastAsia"/>
        </w:rPr>
        <w:t>投資パフォーマンス</w:t>
      </w:r>
    </w:p>
    <w:p w14:paraId="71DDA4A1" w14:textId="2B0D761D" w:rsidR="00C83AB3" w:rsidRDefault="00C83AB3" w:rsidP="00C83AB3">
      <w:pPr>
        <w:pStyle w:val="a3"/>
        <w:numPr>
          <w:ilvl w:val="0"/>
          <w:numId w:val="3"/>
        </w:numPr>
        <w:ind w:leftChars="0"/>
        <w:jc w:val="left"/>
      </w:pPr>
      <w:r>
        <w:rPr>
          <w:rFonts w:hint="eastAsia"/>
        </w:rPr>
        <w:t>投資パフォーマンスがポジ化根がか</w:t>
      </w:r>
    </w:p>
    <w:p w14:paraId="3E7908E2" w14:textId="6E218E01" w:rsidR="001B7C52" w:rsidRDefault="001B7C52" w:rsidP="00C83AB3">
      <w:pPr>
        <w:pStyle w:val="a3"/>
        <w:numPr>
          <w:ilvl w:val="0"/>
          <w:numId w:val="3"/>
        </w:numPr>
        <w:ind w:leftChars="0"/>
        <w:jc w:val="left"/>
      </w:pPr>
      <w:r>
        <w:rPr>
          <w:rFonts w:hint="eastAsia"/>
        </w:rPr>
        <w:t>計測手法</w:t>
      </w:r>
    </w:p>
    <w:p w14:paraId="6FAF8880" w14:textId="56BE5DA4" w:rsidR="00C83AB3" w:rsidRDefault="00C83AB3" w:rsidP="00C83AB3">
      <w:pPr>
        <w:pStyle w:val="a3"/>
        <w:numPr>
          <w:ilvl w:val="1"/>
          <w:numId w:val="2"/>
        </w:numPr>
        <w:ind w:leftChars="0"/>
        <w:jc w:val="left"/>
      </w:pPr>
      <w:r>
        <w:rPr>
          <w:rFonts w:hint="eastAsia"/>
        </w:rPr>
        <w:t>既存研究（AMUNDIにつなげる）</w:t>
      </w:r>
    </w:p>
    <w:p w14:paraId="601B495F" w14:textId="28F48EBB" w:rsidR="003B3D14" w:rsidRDefault="003B3D14" w:rsidP="003B3D14">
      <w:pPr>
        <w:jc w:val="left"/>
      </w:pPr>
    </w:p>
    <w:p w14:paraId="49146091" w14:textId="2DC98334" w:rsidR="003B3D14" w:rsidRDefault="003B3D14" w:rsidP="003B3D14">
      <w:pPr>
        <w:jc w:val="left"/>
      </w:pPr>
    </w:p>
    <w:p w14:paraId="26BB2447" w14:textId="23E4584D" w:rsidR="003B3D14" w:rsidRDefault="003B3D14" w:rsidP="003B3D14">
      <w:pPr>
        <w:jc w:val="left"/>
      </w:pPr>
      <w:r>
        <w:rPr>
          <w:rFonts w:hint="eastAsia"/>
        </w:rPr>
        <w:t>【参考文献】</w:t>
      </w:r>
    </w:p>
    <w:p w14:paraId="0A1C4E07" w14:textId="39F572FD" w:rsidR="003B3D14" w:rsidRDefault="003B3D14" w:rsidP="003B3D14">
      <w:pPr>
        <w:pStyle w:val="a3"/>
        <w:numPr>
          <w:ilvl w:val="0"/>
          <w:numId w:val="3"/>
        </w:numPr>
        <w:ind w:leftChars="0"/>
        <w:jc w:val="left"/>
      </w:pPr>
    </w:p>
    <w:sectPr w:rsidR="003B3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B9FC1" w14:textId="77777777" w:rsidR="00E8070A" w:rsidRDefault="00E8070A" w:rsidP="000467FD">
      <w:r>
        <w:separator/>
      </w:r>
    </w:p>
  </w:endnote>
  <w:endnote w:type="continuationSeparator" w:id="0">
    <w:p w14:paraId="63B769EC" w14:textId="77777777" w:rsidR="00E8070A" w:rsidRDefault="00E8070A" w:rsidP="00046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FEB60" w14:textId="77777777" w:rsidR="00E8070A" w:rsidRDefault="00E8070A" w:rsidP="000467FD">
      <w:r>
        <w:separator/>
      </w:r>
    </w:p>
  </w:footnote>
  <w:footnote w:type="continuationSeparator" w:id="0">
    <w:p w14:paraId="3C4AA752" w14:textId="77777777" w:rsidR="00E8070A" w:rsidRDefault="00E8070A" w:rsidP="000467FD">
      <w:r>
        <w:continuationSeparator/>
      </w:r>
    </w:p>
  </w:footnote>
  <w:footnote w:id="1">
    <w:p w14:paraId="2EAA54CD" w14:textId="30F97051" w:rsidR="000467FD" w:rsidRPr="008E0A96" w:rsidRDefault="000467FD">
      <w:pPr>
        <w:pStyle w:val="a5"/>
        <w:rPr>
          <w:sz w:val="18"/>
          <w:szCs w:val="18"/>
        </w:rPr>
      </w:pPr>
      <w:r w:rsidRPr="000467FD">
        <w:rPr>
          <w:rStyle w:val="a7"/>
          <w:sz w:val="18"/>
          <w:szCs w:val="18"/>
        </w:rPr>
        <w:footnoteRef/>
      </w:r>
      <w:r w:rsidRPr="000467FD">
        <w:rPr>
          <w:sz w:val="18"/>
          <w:szCs w:val="18"/>
        </w:rPr>
        <w:t xml:space="preserve"> </w:t>
      </w:r>
      <w:r>
        <w:rPr>
          <w:rFonts w:hint="eastAsia"/>
          <w:sz w:val="18"/>
          <w:szCs w:val="18"/>
        </w:rPr>
        <w:t>英国の動きなどを背景として2014年に我が国でも策定されたものであり、持続的な企業価値向上に向けた機関投資家</w:t>
      </w:r>
      <w:r w:rsidRPr="008E0A96">
        <w:rPr>
          <w:rFonts w:hint="eastAsia"/>
          <w:sz w:val="18"/>
          <w:szCs w:val="18"/>
        </w:rPr>
        <w:t>と企業を対話を求める方針。</w:t>
      </w:r>
    </w:p>
  </w:footnote>
  <w:footnote w:id="2">
    <w:p w14:paraId="763572FB" w14:textId="4C5FF22C" w:rsidR="008E0A96" w:rsidRDefault="008E0A96">
      <w:pPr>
        <w:pStyle w:val="a5"/>
        <w:rPr>
          <w:sz w:val="18"/>
          <w:szCs w:val="18"/>
        </w:rPr>
      </w:pPr>
      <w:r w:rsidRPr="008E0A96">
        <w:rPr>
          <w:rStyle w:val="a7"/>
          <w:sz w:val="18"/>
          <w:szCs w:val="18"/>
        </w:rPr>
        <w:footnoteRef/>
      </w:r>
      <w:r w:rsidRPr="008E0A96">
        <w:rPr>
          <w:sz w:val="18"/>
          <w:szCs w:val="18"/>
        </w:rPr>
        <w:t xml:space="preserve"> </w:t>
      </w:r>
      <w:r w:rsidRPr="008E0A96">
        <w:rPr>
          <w:rFonts w:hint="eastAsia"/>
          <w:sz w:val="18"/>
          <w:szCs w:val="18"/>
        </w:rPr>
        <w:t>2020年3月末時点で</w:t>
      </w:r>
      <w:r>
        <w:rPr>
          <w:rFonts w:hint="eastAsia"/>
          <w:sz w:val="18"/>
          <w:szCs w:val="18"/>
        </w:rPr>
        <w:t>GPIFが歳よしている指数は以下の5つの指数である。</w:t>
      </w:r>
    </w:p>
    <w:p w14:paraId="17DA72C1" w14:textId="5FF53A43" w:rsidR="008E0A96" w:rsidRPr="008E0A96" w:rsidRDefault="008E0A96" w:rsidP="008E0A96">
      <w:pPr>
        <w:pStyle w:val="a5"/>
        <w:numPr>
          <w:ilvl w:val="0"/>
          <w:numId w:val="8"/>
        </w:numPr>
        <w:ind w:left="709"/>
        <w:rPr>
          <w:sz w:val="18"/>
          <w:szCs w:val="18"/>
        </w:rPr>
      </w:pPr>
      <w:r w:rsidRPr="008E0A96">
        <w:rPr>
          <w:sz w:val="18"/>
          <w:szCs w:val="18"/>
        </w:rPr>
        <w:t>FTSE Blossom Japan Index</w:t>
      </w:r>
    </w:p>
    <w:p w14:paraId="5DC9089C" w14:textId="63E2453C" w:rsidR="008E0A96" w:rsidRPr="008E0A96" w:rsidRDefault="008E0A96" w:rsidP="008E0A96">
      <w:pPr>
        <w:pStyle w:val="a5"/>
        <w:numPr>
          <w:ilvl w:val="0"/>
          <w:numId w:val="8"/>
        </w:numPr>
        <w:ind w:left="709"/>
        <w:rPr>
          <w:sz w:val="18"/>
          <w:szCs w:val="18"/>
        </w:rPr>
      </w:pPr>
      <w:r w:rsidRPr="008E0A96">
        <w:rPr>
          <w:sz w:val="18"/>
          <w:szCs w:val="18"/>
        </w:rPr>
        <w:t>MSCIジャパンESGセレクト･リーダーズ指数</w:t>
      </w:r>
    </w:p>
    <w:p w14:paraId="751ADFC8" w14:textId="1C50D765" w:rsidR="008E0A96" w:rsidRPr="008E0A96" w:rsidRDefault="008E0A96" w:rsidP="008E0A96">
      <w:pPr>
        <w:pStyle w:val="a5"/>
        <w:numPr>
          <w:ilvl w:val="0"/>
          <w:numId w:val="8"/>
        </w:numPr>
        <w:ind w:left="709"/>
        <w:rPr>
          <w:sz w:val="18"/>
          <w:szCs w:val="18"/>
        </w:rPr>
      </w:pPr>
      <w:r w:rsidRPr="008E0A96">
        <w:rPr>
          <w:sz w:val="18"/>
          <w:szCs w:val="18"/>
        </w:rPr>
        <w:t>MSCI日本株女性活躍指数</w:t>
      </w:r>
    </w:p>
    <w:p w14:paraId="6463FE0E" w14:textId="7A86F0E0" w:rsidR="008E0A96" w:rsidRPr="008E0A96" w:rsidRDefault="008E0A96" w:rsidP="008E0A96">
      <w:pPr>
        <w:pStyle w:val="a5"/>
        <w:numPr>
          <w:ilvl w:val="0"/>
          <w:numId w:val="8"/>
        </w:numPr>
        <w:ind w:left="709"/>
        <w:rPr>
          <w:sz w:val="18"/>
          <w:szCs w:val="18"/>
        </w:rPr>
      </w:pPr>
      <w:r w:rsidRPr="008E0A96">
        <w:rPr>
          <w:sz w:val="18"/>
          <w:szCs w:val="18"/>
        </w:rPr>
        <w:t>S&amp;P/JPX</w:t>
      </w:r>
      <w:r w:rsidRPr="008E0A96">
        <w:rPr>
          <w:rFonts w:hint="eastAsia"/>
          <w:sz w:val="18"/>
          <w:szCs w:val="18"/>
        </w:rPr>
        <w:t>カーボン・エフィシェント指数</w:t>
      </w:r>
    </w:p>
    <w:p w14:paraId="25D3B8AA" w14:textId="02DEE2B4" w:rsidR="008E0A96" w:rsidRDefault="008E0A96" w:rsidP="008E0A96">
      <w:pPr>
        <w:pStyle w:val="a5"/>
        <w:numPr>
          <w:ilvl w:val="0"/>
          <w:numId w:val="8"/>
        </w:numPr>
        <w:ind w:left="709"/>
      </w:pPr>
      <w:r w:rsidRPr="008E0A96">
        <w:rPr>
          <w:sz w:val="18"/>
          <w:szCs w:val="18"/>
        </w:rPr>
        <w:t>S&amp;Pグローバル</w:t>
      </w:r>
      <w:r w:rsidRPr="008E0A96">
        <w:rPr>
          <w:rFonts w:hint="eastAsia"/>
          <w:sz w:val="18"/>
          <w:szCs w:val="18"/>
        </w:rPr>
        <w:t>大中型株カーボン・エフィシェント指数（除く日本）</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15B9F"/>
    <w:multiLevelType w:val="hybridMultilevel"/>
    <w:tmpl w:val="97BA664C"/>
    <w:lvl w:ilvl="0" w:tplc="B552BB9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445CA4"/>
    <w:multiLevelType w:val="hybridMultilevel"/>
    <w:tmpl w:val="B1C69114"/>
    <w:lvl w:ilvl="0" w:tplc="0409000B">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2" w15:restartNumberingAfterBreak="0">
    <w:nsid w:val="17375F55"/>
    <w:multiLevelType w:val="hybridMultilevel"/>
    <w:tmpl w:val="3E0A6900"/>
    <w:lvl w:ilvl="0" w:tplc="0409000B">
      <w:start w:val="1"/>
      <w:numFmt w:val="bullet"/>
      <w:lvlText w:val=""/>
      <w:lvlJc w:val="left"/>
      <w:pPr>
        <w:ind w:left="1560" w:hanging="36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3" w15:restartNumberingAfterBreak="0">
    <w:nsid w:val="1BB94D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E6C443D"/>
    <w:multiLevelType w:val="hybridMultilevel"/>
    <w:tmpl w:val="61847DF8"/>
    <w:lvl w:ilvl="0" w:tplc="D9540300">
      <w:start w:val="1"/>
      <w:numFmt w:val="bullet"/>
      <w:lvlText w:val="・"/>
      <w:lvlJc w:val="left"/>
      <w:pPr>
        <w:ind w:left="360" w:hanging="360"/>
      </w:pPr>
      <w:rPr>
        <w:rFonts w:ascii="游明朝" w:eastAsia="游明朝" w:hAnsi="游明朝" w:cstheme="minorBidi" w:hint="eastAsia"/>
        <w:sz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1A91153"/>
    <w:multiLevelType w:val="hybridMultilevel"/>
    <w:tmpl w:val="BEA2C76C"/>
    <w:lvl w:ilvl="0" w:tplc="6E16DBDC">
      <w:start w:val="1"/>
      <w:numFmt w:val="decimal"/>
      <w:lvlText w:val="(%1)"/>
      <w:lvlJc w:val="left"/>
      <w:pPr>
        <w:ind w:left="1200" w:hanging="360"/>
      </w:pPr>
      <w:rPr>
        <w:rFonts w:hint="default"/>
      </w:rPr>
    </w:lvl>
    <w:lvl w:ilvl="1" w:tplc="0409000B">
      <w:start w:val="1"/>
      <w:numFmt w:val="bullet"/>
      <w:lvlText w:val=""/>
      <w:lvlJc w:val="left"/>
      <w:pPr>
        <w:ind w:left="1680" w:hanging="420"/>
      </w:pPr>
      <w:rPr>
        <w:rFonts w:ascii="Wingdings" w:hAnsi="Wingdings" w:hint="default"/>
      </w:r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2BCD05BA"/>
    <w:multiLevelType w:val="hybridMultilevel"/>
    <w:tmpl w:val="AAB0BC54"/>
    <w:lvl w:ilvl="0" w:tplc="0409000B">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7" w15:restartNumberingAfterBreak="0">
    <w:nsid w:val="410A6F7A"/>
    <w:multiLevelType w:val="hybridMultilevel"/>
    <w:tmpl w:val="C43854FE"/>
    <w:lvl w:ilvl="0" w:tplc="0409000B">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8" w15:restartNumberingAfterBreak="0">
    <w:nsid w:val="5F452B91"/>
    <w:multiLevelType w:val="hybridMultilevel"/>
    <w:tmpl w:val="3D100E6E"/>
    <w:lvl w:ilvl="0" w:tplc="0409000B">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9" w15:restartNumberingAfterBreak="0">
    <w:nsid w:val="70D321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9"/>
  </w:num>
  <w:num w:numId="3">
    <w:abstractNumId w:val="0"/>
  </w:num>
  <w:num w:numId="4">
    <w:abstractNumId w:val="5"/>
  </w:num>
  <w:num w:numId="5">
    <w:abstractNumId w:val="7"/>
  </w:num>
  <w:num w:numId="6">
    <w:abstractNumId w:val="1"/>
  </w:num>
  <w:num w:numId="7">
    <w:abstractNumId w:val="2"/>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76"/>
    <w:rsid w:val="0004274D"/>
    <w:rsid w:val="000467FD"/>
    <w:rsid w:val="00154DFF"/>
    <w:rsid w:val="0016300A"/>
    <w:rsid w:val="00197C59"/>
    <w:rsid w:val="001B7C52"/>
    <w:rsid w:val="002544D3"/>
    <w:rsid w:val="002D2248"/>
    <w:rsid w:val="003B3D14"/>
    <w:rsid w:val="0040738D"/>
    <w:rsid w:val="00424624"/>
    <w:rsid w:val="004410C8"/>
    <w:rsid w:val="004A7FAA"/>
    <w:rsid w:val="005F57FA"/>
    <w:rsid w:val="00621772"/>
    <w:rsid w:val="00684906"/>
    <w:rsid w:val="00791535"/>
    <w:rsid w:val="007C7D24"/>
    <w:rsid w:val="007E2D42"/>
    <w:rsid w:val="00846EA5"/>
    <w:rsid w:val="008E0A96"/>
    <w:rsid w:val="00933B49"/>
    <w:rsid w:val="00962093"/>
    <w:rsid w:val="0096763C"/>
    <w:rsid w:val="00B239B3"/>
    <w:rsid w:val="00B431F7"/>
    <w:rsid w:val="00BC789C"/>
    <w:rsid w:val="00C61342"/>
    <w:rsid w:val="00C83AB3"/>
    <w:rsid w:val="00CF573F"/>
    <w:rsid w:val="00D76E3A"/>
    <w:rsid w:val="00DD3C54"/>
    <w:rsid w:val="00E11FFF"/>
    <w:rsid w:val="00E226AC"/>
    <w:rsid w:val="00E40D0D"/>
    <w:rsid w:val="00E64B0F"/>
    <w:rsid w:val="00E8070A"/>
    <w:rsid w:val="00E939CD"/>
    <w:rsid w:val="00ED3276"/>
    <w:rsid w:val="00FA6B87"/>
    <w:rsid w:val="00FB665D"/>
    <w:rsid w:val="00FE6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DD4B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3AB3"/>
    <w:pPr>
      <w:ind w:leftChars="400" w:left="840"/>
    </w:pPr>
  </w:style>
  <w:style w:type="paragraph" w:styleId="a4">
    <w:name w:val="caption"/>
    <w:basedOn w:val="a"/>
    <w:next w:val="a"/>
    <w:uiPriority w:val="35"/>
    <w:unhideWhenUsed/>
    <w:qFormat/>
    <w:rsid w:val="00791535"/>
    <w:rPr>
      <w:b/>
      <w:bCs/>
      <w:szCs w:val="21"/>
    </w:rPr>
  </w:style>
  <w:style w:type="paragraph" w:styleId="a5">
    <w:name w:val="footnote text"/>
    <w:basedOn w:val="a"/>
    <w:link w:val="a6"/>
    <w:uiPriority w:val="99"/>
    <w:semiHidden/>
    <w:unhideWhenUsed/>
    <w:rsid w:val="000467FD"/>
    <w:pPr>
      <w:snapToGrid w:val="0"/>
      <w:jc w:val="left"/>
    </w:pPr>
  </w:style>
  <w:style w:type="character" w:customStyle="1" w:styleId="a6">
    <w:name w:val="脚注文字列 (文字)"/>
    <w:basedOn w:val="a0"/>
    <w:link w:val="a5"/>
    <w:uiPriority w:val="99"/>
    <w:semiHidden/>
    <w:rsid w:val="000467FD"/>
  </w:style>
  <w:style w:type="character" w:styleId="a7">
    <w:name w:val="footnote reference"/>
    <w:basedOn w:val="a0"/>
    <w:uiPriority w:val="99"/>
    <w:semiHidden/>
    <w:unhideWhenUsed/>
    <w:rsid w:val="000467FD"/>
    <w:rPr>
      <w:vertAlign w:val="superscript"/>
    </w:rPr>
  </w:style>
  <w:style w:type="character" w:styleId="a8">
    <w:name w:val="annotation reference"/>
    <w:basedOn w:val="a0"/>
    <w:uiPriority w:val="99"/>
    <w:semiHidden/>
    <w:unhideWhenUsed/>
    <w:rsid w:val="00CF573F"/>
    <w:rPr>
      <w:sz w:val="18"/>
      <w:szCs w:val="18"/>
    </w:rPr>
  </w:style>
  <w:style w:type="paragraph" w:styleId="a9">
    <w:name w:val="annotation text"/>
    <w:basedOn w:val="a"/>
    <w:link w:val="aa"/>
    <w:uiPriority w:val="99"/>
    <w:semiHidden/>
    <w:unhideWhenUsed/>
    <w:rsid w:val="00CF573F"/>
    <w:pPr>
      <w:jc w:val="left"/>
    </w:pPr>
  </w:style>
  <w:style w:type="character" w:customStyle="1" w:styleId="aa">
    <w:name w:val="コメント文字列 (文字)"/>
    <w:basedOn w:val="a0"/>
    <w:link w:val="a9"/>
    <w:uiPriority w:val="99"/>
    <w:semiHidden/>
    <w:rsid w:val="00CF573F"/>
  </w:style>
  <w:style w:type="paragraph" w:styleId="ab">
    <w:name w:val="annotation subject"/>
    <w:basedOn w:val="a9"/>
    <w:next w:val="a9"/>
    <w:link w:val="ac"/>
    <w:uiPriority w:val="99"/>
    <w:semiHidden/>
    <w:unhideWhenUsed/>
    <w:rsid w:val="00CF573F"/>
    <w:rPr>
      <w:b/>
      <w:bCs/>
    </w:rPr>
  </w:style>
  <w:style w:type="character" w:customStyle="1" w:styleId="ac">
    <w:name w:val="コメント内容 (文字)"/>
    <w:basedOn w:val="aa"/>
    <w:link w:val="ab"/>
    <w:uiPriority w:val="99"/>
    <w:semiHidden/>
    <w:rsid w:val="00CF573F"/>
    <w:rPr>
      <w:b/>
      <w:bCs/>
    </w:rPr>
  </w:style>
  <w:style w:type="paragraph" w:styleId="ad">
    <w:name w:val="Balloon Text"/>
    <w:basedOn w:val="a"/>
    <w:link w:val="ae"/>
    <w:uiPriority w:val="99"/>
    <w:semiHidden/>
    <w:unhideWhenUsed/>
    <w:rsid w:val="00CF573F"/>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CF573F"/>
    <w:rPr>
      <w:rFonts w:asciiTheme="majorHAnsi" w:eastAsiaTheme="majorEastAsia" w:hAnsiTheme="majorHAnsi" w:cstheme="majorBidi"/>
      <w:sz w:val="18"/>
      <w:szCs w:val="18"/>
    </w:rPr>
  </w:style>
  <w:style w:type="paragraph" w:styleId="af">
    <w:name w:val="header"/>
    <w:basedOn w:val="a"/>
    <w:link w:val="af0"/>
    <w:uiPriority w:val="99"/>
    <w:unhideWhenUsed/>
    <w:rsid w:val="005F57FA"/>
    <w:pPr>
      <w:tabs>
        <w:tab w:val="center" w:pos="4252"/>
        <w:tab w:val="right" w:pos="8504"/>
      </w:tabs>
      <w:snapToGrid w:val="0"/>
    </w:pPr>
  </w:style>
  <w:style w:type="character" w:customStyle="1" w:styleId="af0">
    <w:name w:val="ヘッダー (文字)"/>
    <w:basedOn w:val="a0"/>
    <w:link w:val="af"/>
    <w:uiPriority w:val="99"/>
    <w:rsid w:val="005F57FA"/>
  </w:style>
  <w:style w:type="paragraph" w:styleId="af1">
    <w:name w:val="footer"/>
    <w:basedOn w:val="a"/>
    <w:link w:val="af2"/>
    <w:uiPriority w:val="99"/>
    <w:unhideWhenUsed/>
    <w:rsid w:val="005F57FA"/>
    <w:pPr>
      <w:tabs>
        <w:tab w:val="center" w:pos="4252"/>
        <w:tab w:val="right" w:pos="8504"/>
      </w:tabs>
      <w:snapToGrid w:val="0"/>
    </w:pPr>
  </w:style>
  <w:style w:type="character" w:customStyle="1" w:styleId="af2">
    <w:name w:val="フッター (文字)"/>
    <w:basedOn w:val="a0"/>
    <w:link w:val="af1"/>
    <w:uiPriority w:val="99"/>
    <w:rsid w:val="005F5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2021-02-08T11:41:00Z</dcterms:created>
  <dcterms:modified xsi:type="dcterms:W3CDTF">2021-02-08T11:41:00Z</dcterms:modified>
</cp:coreProperties>
</file>