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9275" w14:textId="747CE084" w:rsidR="00933B49" w:rsidRDefault="00330BFB" w:rsidP="00330BFB">
      <w:pPr>
        <w:pStyle w:val="1"/>
      </w:pPr>
      <w:r>
        <w:rPr>
          <w:rFonts w:hint="eastAsia"/>
        </w:rPr>
        <w:t>参考書籍の内容</w:t>
      </w:r>
    </w:p>
    <w:p w14:paraId="0B100834" w14:textId="77777777" w:rsidR="00330BFB" w:rsidRDefault="00330BFB" w:rsidP="00330BFB">
      <w:pPr>
        <w:pStyle w:val="a7"/>
        <w:numPr>
          <w:ilvl w:val="0"/>
          <w:numId w:val="1"/>
        </w:numPr>
        <w:ind w:leftChars="0"/>
      </w:pPr>
      <w:r>
        <w:rPr>
          <w:rFonts w:hint="eastAsia"/>
        </w:rPr>
        <w:t>この本の目的</w:t>
      </w:r>
    </w:p>
    <w:p w14:paraId="75BE2574" w14:textId="39616DB0" w:rsidR="00330BFB" w:rsidRDefault="00330BFB" w:rsidP="00330BFB">
      <w:pPr>
        <w:pStyle w:val="a7"/>
        <w:ind w:leftChars="0" w:left="709" w:firstLineChars="100" w:firstLine="210"/>
      </w:pPr>
      <w:r>
        <w:rPr>
          <w:rFonts w:hint="eastAsia"/>
        </w:rPr>
        <w:t>代表的な年金契約者の死亡時点における富の期待効用を最大化するように年金ファンドのアロケーションを決定する．</w:t>
      </w:r>
    </w:p>
    <w:p w14:paraId="69B9DC37" w14:textId="77777777" w:rsidR="005C57ED" w:rsidRDefault="005C57ED" w:rsidP="00330BFB">
      <w:pPr>
        <w:pStyle w:val="a7"/>
        <w:ind w:leftChars="0" w:left="709" w:firstLineChars="100" w:firstLine="210"/>
      </w:pPr>
    </w:p>
    <w:p w14:paraId="5D72A7A9" w14:textId="5DB186C5" w:rsidR="00330BFB" w:rsidRDefault="00330BFB" w:rsidP="00330BFB">
      <w:pPr>
        <w:pStyle w:val="a7"/>
        <w:numPr>
          <w:ilvl w:val="0"/>
          <w:numId w:val="1"/>
        </w:numPr>
        <w:ind w:leftChars="0"/>
      </w:pPr>
      <w:r>
        <w:rPr>
          <w:rFonts w:hint="eastAsia"/>
        </w:rPr>
        <w:t>目的関数</w:t>
      </w:r>
    </w:p>
    <w:p w14:paraId="1F5A73BD" w14:textId="1DD0E08D" w:rsidR="00330BFB" w:rsidRDefault="00330BFB" w:rsidP="00330BFB">
      <w:pPr>
        <w:pStyle w:val="a7"/>
        <w:ind w:leftChars="0" w:left="709" w:firstLineChars="100" w:firstLine="210"/>
      </w:pPr>
      <w:r>
        <w:rPr>
          <w:rFonts w:hint="eastAsia"/>
        </w:rPr>
        <w:t>上記の話は以下の目的関数を解くことを意味する．</w:t>
      </w:r>
    </w:p>
    <w:tbl>
      <w:tblPr>
        <w:tblStyle w:val="a8"/>
        <w:tblW w:w="0" w:type="auto"/>
        <w:tblInd w:w="709" w:type="dxa"/>
        <w:tblLook w:val="04A0" w:firstRow="1" w:lastRow="0" w:firstColumn="1" w:lastColumn="0" w:noHBand="0" w:noVBand="1"/>
      </w:tblPr>
      <w:tblGrid>
        <w:gridCol w:w="8217"/>
      </w:tblGrid>
      <w:tr w:rsidR="00330BFB" w14:paraId="65DC5713" w14:textId="77777777" w:rsidTr="005C57ED">
        <w:tc>
          <w:tcPr>
            <w:tcW w:w="8217" w:type="dxa"/>
          </w:tcPr>
          <w:p w14:paraId="4074073D" w14:textId="06DF221A" w:rsidR="00330BFB" w:rsidRDefault="00355DB8" w:rsidP="00330BFB">
            <w:pPr>
              <w:pStyle w:val="a7"/>
              <w:ind w:leftChars="0" w:left="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ω</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,τ]</m:t>
                            </m:r>
                          </m:sub>
                        </m:sSub>
                      </m:lim>
                    </m:limLow>
                  </m:fName>
                  <m:e>
                    <m:sSub>
                      <m:sSubPr>
                        <m:ctrlPr>
                          <w:rPr>
                            <w:rFonts w:ascii="Cambria Math" w:hAnsi="Cambria Math"/>
                            <w:iCs/>
                          </w:rPr>
                        </m:ctrlPr>
                      </m:sSubPr>
                      <m:e>
                        <m:r>
                          <m:rPr>
                            <m:sty m:val="p"/>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τ</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ds</m:t>
                                </m:r>
                              </m:e>
                            </m:nary>
                          </m:sup>
                        </m:sSup>
                      </m:e>
                    </m:d>
                  </m:e>
                </m:func>
                <m:r>
                  <m:rPr>
                    <m:sty m:val="p"/>
                  </m:rPr>
                  <w:br/>
                </m:r>
              </m:oMath>
              <m:oMath>
                <m:r>
                  <m:rPr>
                    <m:sty m:val="p"/>
                  </m:rPr>
                  <w:br/>
                </m:r>
                <m:r>
                  <w:rPr>
                    <w:rFonts w:ascii="Cambria Math" w:hAnsi="Cambria Math"/>
                  </w:rPr>
                  <m:t>τ</m:t>
                </m:r>
              </m:oMath>
            </m:oMathPara>
            <w:r w:rsidR="00FF6F83">
              <w:tab/>
            </w:r>
            <w:r w:rsidR="00FF6F83">
              <w:rPr>
                <w:rFonts w:hint="eastAsia"/>
              </w:rPr>
              <w:t>：代表的な年金契約者の死亡時刻（確率的）</w:t>
            </w:r>
          </w:p>
          <w:p w14:paraId="02F552FB" w14:textId="1BB326BB" w:rsidR="00FF6F83" w:rsidRDefault="00355DB8" w:rsidP="00FF6F83">
            <w:pPr>
              <w:pStyle w:val="a7"/>
              <w:ind w:leftChars="0" w:left="0"/>
            </w:pPr>
            <m:oMath>
              <m:sSub>
                <m:sSubPr>
                  <m:ctrlPr>
                    <w:rPr>
                      <w:rFonts w:ascii="Cambria Math" w:hAnsi="Cambria Math"/>
                      <w:i/>
                    </w:rPr>
                  </m:ctrlPr>
                </m:sSubPr>
                <m:e>
                  <m:r>
                    <w:rPr>
                      <w:rFonts w:ascii="Cambria Math" w:hAnsi="Cambria Math"/>
                    </w:rPr>
                    <m:t>ω</m:t>
                  </m:r>
                </m:e>
                <m:sub>
                  <m:r>
                    <w:rPr>
                      <w:rFonts w:ascii="Cambria Math" w:hAnsi="Cambria Math"/>
                    </w:rPr>
                    <m:t>t</m:t>
                  </m:r>
                </m:sub>
              </m:sSub>
            </m:oMath>
            <w:r w:rsidR="00FF6F83">
              <w:tab/>
            </w:r>
            <w:r w:rsidR="00FF6F83">
              <w:rPr>
                <w:rFonts w:hint="eastAsia"/>
              </w:rPr>
              <w:t>：ファンドポートフォリオのウェイト</w:t>
            </w:r>
            <w:r w:rsidR="00FF6F83">
              <w:t xml:space="preserve"> </w:t>
            </w:r>
          </w:p>
          <w:p w14:paraId="4A1E2EFB" w14:textId="13C427F1" w:rsidR="00FF6F83" w:rsidRDefault="00355DB8" w:rsidP="00FF6F83">
            <w:pPr>
              <w:pStyle w:val="a7"/>
              <w:ind w:leftChars="0" w:left="0"/>
            </w:pP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FF6F83">
              <w:tab/>
            </w:r>
            <w:r w:rsidR="00FF6F83">
              <w:rPr>
                <w:rFonts w:hint="eastAsia"/>
              </w:rPr>
              <w:t>：ファンドで使用しているディスカウントレート</w:t>
            </w:r>
            <w:r w:rsidR="00FF6F83">
              <w:t xml:space="preserve"> </w:t>
            </w:r>
          </w:p>
          <w:p w14:paraId="66E13819" w14:textId="05CC250B" w:rsidR="00FF6F83" w:rsidRDefault="00355DB8" w:rsidP="00FF6F83">
            <w:pPr>
              <w:pStyle w:val="a7"/>
              <w:ind w:leftChars="0" w:left="0"/>
            </w:pP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00FF6F83">
              <w:tab/>
            </w:r>
            <w:r w:rsidR="00FF6F83">
              <w:rPr>
                <w:rFonts w:hint="eastAsia"/>
              </w:rPr>
              <w:t>：死亡時点におけるファンドの富</w:t>
            </w:r>
            <w:r w:rsidR="00FF6F83">
              <w:t xml:space="preserve"> </w:t>
            </w:r>
          </w:p>
          <w:p w14:paraId="3E65334D" w14:textId="775E6BE2" w:rsidR="00FF6F83" w:rsidRDefault="00355DB8" w:rsidP="00FF6F83">
            <w:pPr>
              <w:pStyle w:val="a7"/>
              <w:ind w:leftChars="0" w:left="0"/>
            </w:pPr>
            <m:oMath>
              <m:sSub>
                <m:sSubPr>
                  <m:ctrlPr>
                    <w:rPr>
                      <w:rFonts w:ascii="Cambria Math" w:hAnsi="Cambria Math"/>
                      <w:i/>
                    </w:rPr>
                  </m:ctrlPr>
                </m:sSubPr>
                <m:e>
                  <m:r>
                    <w:rPr>
                      <w:rFonts w:ascii="Cambria Math" w:hAnsi="Cambria Math"/>
                    </w:rPr>
                    <m:t>U</m:t>
                  </m:r>
                  <m:d>
                    <m:dPr>
                      <m:ctrlPr>
                        <w:rPr>
                          <w:rFonts w:ascii="Cambria Math" w:hAnsi="Cambria Math"/>
                          <w:i/>
                        </w:rPr>
                      </m:ctrlPr>
                    </m:dPr>
                    <m:e>
                      <m:r>
                        <w:rPr>
                          <w:rFonts w:ascii="Cambria Math" w:hAnsi="Cambria Math"/>
                        </w:rPr>
                        <m:t>⋅</m:t>
                      </m:r>
                    </m:e>
                  </m:d>
                </m:e>
                <m:sub>
                  <m:r>
                    <w:rPr>
                      <w:rFonts w:ascii="Cambria Math" w:hAnsi="Cambria Math"/>
                    </w:rPr>
                    <m:t xml:space="preserve"> </m:t>
                  </m:r>
                </m:sub>
              </m:sSub>
            </m:oMath>
            <w:r w:rsidR="00FF6F83">
              <w:tab/>
            </w:r>
            <w:r w:rsidR="00FF6F83">
              <w:rPr>
                <w:rFonts w:hint="eastAsia"/>
              </w:rPr>
              <w:t>：ファンドで使用しているディスカウントレート</w:t>
            </w:r>
            <w:r w:rsidR="00FF6F83">
              <w:t xml:space="preserve"> </w:t>
            </w:r>
          </w:p>
          <w:p w14:paraId="6F7E930D" w14:textId="6811545D" w:rsidR="00FF6F83" w:rsidRPr="00FF6F83" w:rsidRDefault="00FF6F83" w:rsidP="00330BFB">
            <w:pPr>
              <w:pStyle w:val="a7"/>
              <w:ind w:leftChars="0" w:left="0"/>
            </w:pPr>
          </w:p>
        </w:tc>
      </w:tr>
    </w:tbl>
    <w:p w14:paraId="684D8BCD" w14:textId="01F93475" w:rsidR="005C57ED" w:rsidRDefault="005C57ED" w:rsidP="00330BFB">
      <w:pPr>
        <w:pStyle w:val="a7"/>
        <w:ind w:leftChars="0" w:left="709" w:firstLineChars="100" w:firstLine="210"/>
      </w:pPr>
    </w:p>
    <w:p w14:paraId="505E1F14" w14:textId="1B7772DE" w:rsidR="005C57ED" w:rsidRDefault="005C57ED" w:rsidP="00330BFB">
      <w:pPr>
        <w:pStyle w:val="a7"/>
        <w:ind w:leftChars="0" w:left="709" w:firstLineChars="100" w:firstLine="210"/>
      </w:pPr>
      <w:r>
        <w:rPr>
          <w:rFonts w:hint="eastAsia"/>
        </w:rPr>
        <w:t>ファンドの富は以下の要素で決定される．</w:t>
      </w:r>
    </w:p>
    <w:p w14:paraId="507E7A53" w14:textId="321E1F10" w:rsidR="005C57ED" w:rsidRDefault="005C57ED" w:rsidP="005C57ED">
      <w:pPr>
        <w:pStyle w:val="a7"/>
        <w:numPr>
          <w:ilvl w:val="0"/>
          <w:numId w:val="2"/>
        </w:numPr>
        <w:ind w:leftChars="0" w:left="1560"/>
      </w:pPr>
      <w:r>
        <w:rPr>
          <w:rFonts w:hint="eastAsia"/>
        </w:rPr>
        <w:t>ファンドの持つポートフォリオの価値</w:t>
      </w:r>
    </w:p>
    <w:p w14:paraId="489A7E75" w14:textId="5397FFE2" w:rsidR="005C57ED" w:rsidRDefault="005C57ED" w:rsidP="005C57ED">
      <w:pPr>
        <w:pStyle w:val="a7"/>
        <w:numPr>
          <w:ilvl w:val="0"/>
          <w:numId w:val="2"/>
        </w:numPr>
        <w:ind w:leftChars="0" w:left="1560"/>
      </w:pPr>
      <w:r>
        <w:rPr>
          <w:rFonts w:hint="eastAsia"/>
        </w:rPr>
        <w:t>保険料によるキャッシュイン，保険金によるキャッシュアウト</w:t>
      </w:r>
    </w:p>
    <w:p w14:paraId="0940650F" w14:textId="117936CA" w:rsidR="005C57ED" w:rsidRDefault="005C57ED" w:rsidP="005C57ED">
      <w:pPr>
        <w:ind w:left="840"/>
      </w:pPr>
      <w:r>
        <w:rPr>
          <w:rFonts w:hint="eastAsia"/>
        </w:rPr>
        <w:t>これらを表現するため，状態変数で表される育うtもののリスクにさらされる．例えば，以下の点．</w:t>
      </w:r>
    </w:p>
    <w:p w14:paraId="7237A58B" w14:textId="097609A8" w:rsidR="005C57ED" w:rsidRDefault="005C57ED" w:rsidP="005C57ED">
      <w:pPr>
        <w:pStyle w:val="a7"/>
        <w:numPr>
          <w:ilvl w:val="0"/>
          <w:numId w:val="2"/>
        </w:numPr>
        <w:ind w:leftChars="0" w:left="1560"/>
      </w:pPr>
      <w:r>
        <w:rPr>
          <w:rFonts w:hint="eastAsia"/>
        </w:rPr>
        <w:t>金利リスク</w:t>
      </w:r>
    </w:p>
    <w:p w14:paraId="105D33E5" w14:textId="220C0597" w:rsidR="005C57ED" w:rsidRDefault="005C57ED" w:rsidP="005C57ED">
      <w:pPr>
        <w:pStyle w:val="a7"/>
        <w:numPr>
          <w:ilvl w:val="0"/>
          <w:numId w:val="2"/>
        </w:numPr>
        <w:ind w:leftChars="0" w:left="1560"/>
      </w:pPr>
      <w:r>
        <w:rPr>
          <w:rFonts w:hint="eastAsia"/>
        </w:rPr>
        <w:t>死亡リスク</w:t>
      </w:r>
    </w:p>
    <w:p w14:paraId="423F2ABA" w14:textId="29EC2496" w:rsidR="005C57ED" w:rsidRDefault="005C57ED" w:rsidP="005C57ED">
      <w:pPr>
        <w:pStyle w:val="a7"/>
        <w:numPr>
          <w:ilvl w:val="0"/>
          <w:numId w:val="2"/>
        </w:numPr>
        <w:ind w:leftChars="0" w:left="1560"/>
      </w:pPr>
      <w:r>
        <w:rPr>
          <w:rFonts w:hint="eastAsia"/>
        </w:rPr>
        <w:t>長生きリスク（死力）</w:t>
      </w:r>
    </w:p>
    <w:p w14:paraId="499B51B1" w14:textId="53C90D06" w:rsidR="005C57ED" w:rsidRDefault="005C57ED" w:rsidP="005C57ED"/>
    <w:p w14:paraId="43E6C2CA" w14:textId="369B54A9" w:rsidR="005C57ED" w:rsidRDefault="005C57ED" w:rsidP="005C57ED">
      <w:pPr>
        <w:pStyle w:val="a7"/>
        <w:numPr>
          <w:ilvl w:val="0"/>
          <w:numId w:val="1"/>
        </w:numPr>
        <w:ind w:leftChars="0"/>
      </w:pPr>
      <w:r>
        <w:rPr>
          <w:rFonts w:hint="eastAsia"/>
        </w:rPr>
        <w:t>本書の構成</w:t>
      </w:r>
    </w:p>
    <w:tbl>
      <w:tblPr>
        <w:tblStyle w:val="4-1"/>
        <w:tblW w:w="9211" w:type="dxa"/>
        <w:tblInd w:w="423" w:type="dxa"/>
        <w:tblLook w:val="04A0" w:firstRow="1" w:lastRow="0" w:firstColumn="1" w:lastColumn="0" w:noHBand="0" w:noVBand="1"/>
      </w:tblPr>
      <w:tblGrid>
        <w:gridCol w:w="993"/>
        <w:gridCol w:w="8218"/>
      </w:tblGrid>
      <w:tr w:rsidR="005C57ED" w14:paraId="53BA90BE" w14:textId="77777777" w:rsidTr="005C5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A292877" w14:textId="6C6B969E" w:rsidR="005C57ED" w:rsidRDefault="005C57ED" w:rsidP="005C57ED">
            <w:pPr>
              <w:pStyle w:val="a7"/>
              <w:ind w:leftChars="0" w:left="0"/>
            </w:pPr>
            <w:r>
              <w:rPr>
                <w:rFonts w:hint="eastAsia"/>
              </w:rPr>
              <w:t>章</w:t>
            </w:r>
          </w:p>
        </w:tc>
        <w:tc>
          <w:tcPr>
            <w:tcW w:w="8218" w:type="dxa"/>
          </w:tcPr>
          <w:p w14:paraId="08021A60" w14:textId="7A4A2FF2" w:rsidR="005C57ED" w:rsidRDefault="005C57ED" w:rsidP="005C57ED">
            <w:pPr>
              <w:pStyle w:val="a7"/>
              <w:ind w:leftChars="0" w:left="0"/>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5C57ED" w14:paraId="4FA98A55" w14:textId="77777777" w:rsidTr="005C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7180F81" w14:textId="603E5630" w:rsidR="005C57ED" w:rsidRDefault="005C57ED" w:rsidP="005C57ED">
            <w:pPr>
              <w:pStyle w:val="a7"/>
              <w:ind w:leftChars="0" w:left="0"/>
              <w:jc w:val="center"/>
            </w:pPr>
            <w:r>
              <w:rPr>
                <w:rFonts w:hint="eastAsia"/>
              </w:rPr>
              <w:t>2</w:t>
            </w:r>
          </w:p>
        </w:tc>
        <w:tc>
          <w:tcPr>
            <w:tcW w:w="8218" w:type="dxa"/>
          </w:tcPr>
          <w:p w14:paraId="11178DD9" w14:textId="4D19B085" w:rsidR="005C57ED" w:rsidRDefault="00D43F9E" w:rsidP="005C57ED">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効用関数の一般論．リスク回避度の話を中心として，効用関数の形とその解釈を説明．</w:t>
            </w:r>
          </w:p>
        </w:tc>
      </w:tr>
      <w:tr w:rsidR="005C57ED" w14:paraId="2AAFCDDE" w14:textId="77777777" w:rsidTr="005C57ED">
        <w:tc>
          <w:tcPr>
            <w:cnfStyle w:val="001000000000" w:firstRow="0" w:lastRow="0" w:firstColumn="1" w:lastColumn="0" w:oddVBand="0" w:evenVBand="0" w:oddHBand="0" w:evenHBand="0" w:firstRowFirstColumn="0" w:firstRowLastColumn="0" w:lastRowFirstColumn="0" w:lastRowLastColumn="0"/>
            <w:tcW w:w="993" w:type="dxa"/>
          </w:tcPr>
          <w:p w14:paraId="362CCA2D" w14:textId="527D606E" w:rsidR="005C57ED" w:rsidRDefault="005C57ED" w:rsidP="005C57ED">
            <w:pPr>
              <w:pStyle w:val="a7"/>
              <w:ind w:leftChars="0" w:left="0"/>
              <w:jc w:val="center"/>
            </w:pPr>
            <w:r>
              <w:rPr>
                <w:rFonts w:hint="eastAsia"/>
              </w:rPr>
              <w:t>3</w:t>
            </w:r>
          </w:p>
        </w:tc>
        <w:tc>
          <w:tcPr>
            <w:tcW w:w="8218" w:type="dxa"/>
          </w:tcPr>
          <w:p w14:paraId="072D6CFF" w14:textId="77777777" w:rsidR="005C57ED" w:rsidRDefault="00D43F9E" w:rsidP="005C57ED">
            <w:pPr>
              <w:pStyle w:val="a7"/>
              <w:ind w:leftChars="0" w:left="0"/>
              <w:cnfStyle w:val="000000000000" w:firstRow="0" w:lastRow="0" w:firstColumn="0" w:lastColumn="0" w:oddVBand="0" w:evenVBand="0" w:oddHBand="0" w:evenHBand="0" w:firstRowFirstColumn="0" w:firstRowLastColumn="0" w:lastRowFirstColumn="0" w:lastRowLastColumn="0"/>
            </w:pPr>
            <w:r>
              <w:rPr>
                <w:rFonts w:hint="eastAsia"/>
              </w:rPr>
              <w:t>目的関数に含まれる状態変数のモデル化に必要な確率過程や確率微分方程式の説明．</w:t>
            </w:r>
          </w:p>
          <w:p w14:paraId="6F54FE61" w14:textId="5484B568" w:rsidR="00D43F9E" w:rsidRDefault="00D43F9E" w:rsidP="005C57ED">
            <w:pPr>
              <w:pStyle w:val="a7"/>
              <w:ind w:leftChars="0" w:left="0"/>
              <w:cnfStyle w:val="000000000000" w:firstRow="0" w:lastRow="0" w:firstColumn="0" w:lastColumn="0" w:oddVBand="0" w:evenVBand="0" w:oddHBand="0" w:evenHBand="0" w:firstRowFirstColumn="0" w:firstRowLastColumn="0" w:lastRowFirstColumn="0" w:lastRowLastColumn="0"/>
            </w:pPr>
            <w:r>
              <w:rPr>
                <w:rFonts w:hint="eastAsia"/>
              </w:rPr>
              <w:t>いくつかのモデルを前提に，実データを用いてパラメータ推計を実施．年金ファンドの話というよりも，一般論に近い．</w:t>
            </w:r>
          </w:p>
        </w:tc>
      </w:tr>
      <w:tr w:rsidR="005C57ED" w14:paraId="6319D054" w14:textId="77777777" w:rsidTr="005C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5799697" w14:textId="2EE940E4" w:rsidR="005C57ED" w:rsidRDefault="005C57ED" w:rsidP="005C57ED">
            <w:pPr>
              <w:pStyle w:val="a7"/>
              <w:ind w:leftChars="0" w:left="0"/>
              <w:jc w:val="center"/>
            </w:pPr>
            <w:r>
              <w:rPr>
                <w:rFonts w:hint="eastAsia"/>
              </w:rPr>
              <w:t>4</w:t>
            </w:r>
          </w:p>
        </w:tc>
        <w:tc>
          <w:tcPr>
            <w:tcW w:w="8218" w:type="dxa"/>
          </w:tcPr>
          <w:p w14:paraId="1492E9A3" w14:textId="1AA71A37" w:rsidR="005C57ED" w:rsidRDefault="00741C8D" w:rsidP="005C57ED">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金融マーケットが３章で説明した確率過程用いてどのように表されるかを記載．特に市場にn個のリスク資産と無リスク資産があると仮定し，</w:t>
            </w:r>
            <w:r w:rsidR="00901184">
              <w:rPr>
                <w:rFonts w:hint="eastAsia"/>
              </w:rPr>
              <w:t>資産価格付け定理の説明と，それを用いたポートフォリオの価格付けを説明．また，金利モデルを仮定し債券価格の算出も行っている．</w:t>
            </w:r>
          </w:p>
        </w:tc>
      </w:tr>
      <w:tr w:rsidR="005C57ED" w14:paraId="7957DCEC" w14:textId="77777777" w:rsidTr="005C57ED">
        <w:tc>
          <w:tcPr>
            <w:cnfStyle w:val="001000000000" w:firstRow="0" w:lastRow="0" w:firstColumn="1" w:lastColumn="0" w:oddVBand="0" w:evenVBand="0" w:oddHBand="0" w:evenHBand="0" w:firstRowFirstColumn="0" w:firstRowLastColumn="0" w:lastRowFirstColumn="0" w:lastRowLastColumn="0"/>
            <w:tcW w:w="993" w:type="dxa"/>
          </w:tcPr>
          <w:p w14:paraId="705A169B" w14:textId="456B3801" w:rsidR="005C57ED" w:rsidRDefault="005C57ED" w:rsidP="005C57ED">
            <w:pPr>
              <w:pStyle w:val="a7"/>
              <w:ind w:leftChars="0" w:left="0"/>
              <w:jc w:val="center"/>
            </w:pPr>
            <w:r>
              <w:rPr>
                <w:rFonts w:hint="eastAsia"/>
              </w:rPr>
              <w:t>5</w:t>
            </w:r>
          </w:p>
        </w:tc>
        <w:tc>
          <w:tcPr>
            <w:tcW w:w="8218" w:type="dxa"/>
          </w:tcPr>
          <w:p w14:paraId="4B222E52" w14:textId="73E1858A" w:rsidR="005C57ED" w:rsidRDefault="00901184" w:rsidP="005C57ED">
            <w:pPr>
              <w:pStyle w:val="a7"/>
              <w:ind w:leftChars="0" w:left="0"/>
              <w:cnfStyle w:val="000000000000" w:firstRow="0" w:lastRow="0" w:firstColumn="0" w:lastColumn="0" w:oddVBand="0" w:evenVBand="0" w:oddHBand="0" w:evenHBand="0" w:firstRowFirstColumn="0" w:firstRowLastColumn="0" w:lastRowFirstColumn="0" w:lastRowLastColumn="0"/>
            </w:pPr>
            <w:r>
              <w:rPr>
                <w:rFonts w:hint="eastAsia"/>
              </w:rPr>
              <w:t>死力の概念の導入とそのモデル化．決定論的モデル及び確率論的モデルの2種類を前提にそれぞれ実データを用いてシミュレーション</w:t>
            </w:r>
            <w:r w:rsidR="00194B82">
              <w:rPr>
                <w:rFonts w:hint="eastAsia"/>
              </w:rPr>
              <w:t>．</w:t>
            </w:r>
          </w:p>
        </w:tc>
      </w:tr>
      <w:tr w:rsidR="005C57ED" w14:paraId="53C0CC68" w14:textId="77777777" w:rsidTr="005C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AC34178" w14:textId="3D505BA6" w:rsidR="005C57ED" w:rsidRDefault="005C57ED" w:rsidP="005C57ED">
            <w:pPr>
              <w:pStyle w:val="a7"/>
              <w:ind w:leftChars="0" w:left="0"/>
              <w:jc w:val="center"/>
            </w:pPr>
            <w:r>
              <w:rPr>
                <w:rFonts w:hint="eastAsia"/>
              </w:rPr>
              <w:t>6</w:t>
            </w:r>
          </w:p>
        </w:tc>
        <w:tc>
          <w:tcPr>
            <w:tcW w:w="8218" w:type="dxa"/>
          </w:tcPr>
          <w:p w14:paraId="6FB37C9F" w14:textId="57B6F768" w:rsidR="003F34B5" w:rsidRPr="00194B82" w:rsidRDefault="00194B82" w:rsidP="003F34B5">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死力を原資産としたデリバティブ（a</w:t>
            </w:r>
            <w:r>
              <w:t>ctu</w:t>
            </w:r>
            <w:r>
              <w:rPr>
                <w:rFonts w:hint="eastAsia"/>
              </w:rPr>
              <w:t>a</w:t>
            </w:r>
            <w:r>
              <w:t>rial derivative</w:t>
            </w:r>
            <w:r>
              <w:rPr>
                <w:rFonts w:hint="eastAsia"/>
              </w:rPr>
              <w:t>と呼んでる）の簡単な例を４章と５章の内容を組み合わせた手法で評価</w:t>
            </w:r>
            <w:r w:rsidR="003F34B5">
              <w:rPr>
                <w:rFonts w:hint="eastAsia"/>
              </w:rPr>
              <w:t>する．例として記載しているa</w:t>
            </w:r>
            <w:r w:rsidR="003F34B5">
              <w:t>ctuarial derivative</w:t>
            </w:r>
            <w:r w:rsidR="003F34B5">
              <w:rPr>
                <w:rFonts w:hint="eastAsia"/>
              </w:rPr>
              <w:t>はLonge</w:t>
            </w:r>
            <w:r w:rsidR="003F34B5">
              <w:t>vity Bond</w:t>
            </w:r>
            <w:r w:rsidR="003F34B5">
              <w:rPr>
                <w:rFonts w:hint="eastAsia"/>
              </w:rPr>
              <w:t>（クーポンが生存率に比例する債券），</w:t>
            </w:r>
            <w:r w:rsidR="003F34B5">
              <w:t>Tontine</w:t>
            </w:r>
            <w:r w:rsidR="003F34B5">
              <w:rPr>
                <w:rFonts w:hint="eastAsia"/>
              </w:rPr>
              <w:t>（</w:t>
            </w:r>
            <w:r w:rsidR="003F34B5" w:rsidRPr="003F34B5">
              <w:rPr>
                <w:rFonts w:hint="eastAsia"/>
              </w:rPr>
              <w:t>出資者が死亡すると、その年金が受け取る権利を持つ生存する出資者に移される終身年金制</w:t>
            </w:r>
            <w:r w:rsidR="003F34B5">
              <w:rPr>
                <w:rFonts w:hint="eastAsia"/>
              </w:rPr>
              <w:t>），Death</w:t>
            </w:r>
            <w:r w:rsidR="003F34B5">
              <w:t xml:space="preserve"> Bond</w:t>
            </w:r>
            <w:r w:rsidR="003F34B5">
              <w:rPr>
                <w:rFonts w:hint="eastAsia"/>
              </w:rPr>
              <w:t>（a</w:t>
            </w:r>
            <w:r w:rsidR="003F34B5">
              <w:t>sset backed security</w:t>
            </w:r>
            <w:r w:rsidR="003F34B5">
              <w:rPr>
                <w:rFonts w:hint="eastAsia"/>
              </w:rPr>
              <w:t>の一つ）</w:t>
            </w:r>
          </w:p>
        </w:tc>
      </w:tr>
      <w:tr w:rsidR="005C57ED" w14:paraId="1D144319" w14:textId="77777777" w:rsidTr="005C57ED">
        <w:tc>
          <w:tcPr>
            <w:cnfStyle w:val="001000000000" w:firstRow="0" w:lastRow="0" w:firstColumn="1" w:lastColumn="0" w:oddVBand="0" w:evenVBand="0" w:oddHBand="0" w:evenHBand="0" w:firstRowFirstColumn="0" w:firstRowLastColumn="0" w:lastRowFirstColumn="0" w:lastRowLastColumn="0"/>
            <w:tcW w:w="993" w:type="dxa"/>
          </w:tcPr>
          <w:p w14:paraId="312BC511" w14:textId="2D5ECBA8" w:rsidR="005C57ED" w:rsidRDefault="005C57ED" w:rsidP="005C57ED">
            <w:pPr>
              <w:pStyle w:val="a7"/>
              <w:ind w:leftChars="0" w:left="0"/>
              <w:jc w:val="center"/>
            </w:pPr>
            <w:r>
              <w:rPr>
                <w:rFonts w:hint="eastAsia"/>
              </w:rPr>
              <w:lastRenderedPageBreak/>
              <w:t>7</w:t>
            </w:r>
          </w:p>
        </w:tc>
        <w:tc>
          <w:tcPr>
            <w:tcW w:w="8218" w:type="dxa"/>
          </w:tcPr>
          <w:p w14:paraId="7733E63A" w14:textId="0DEE996F" w:rsidR="005C57ED" w:rsidRDefault="00B73FF3" w:rsidP="005C57ED">
            <w:pPr>
              <w:pStyle w:val="a7"/>
              <w:ind w:leftChars="0" w:left="0"/>
              <w:cnfStyle w:val="000000000000" w:firstRow="0" w:lastRow="0" w:firstColumn="0" w:lastColumn="0" w:oddVBand="0" w:evenVBand="0" w:oddHBand="0" w:evenHBand="0" w:firstRowFirstColumn="0" w:firstRowLastColumn="0" w:lastRowFirstColumn="0" w:lastRowLastColumn="0"/>
            </w:pPr>
            <w:r>
              <w:rPr>
                <w:rFonts w:hint="eastAsia"/>
              </w:rPr>
              <w:t>年金ファンドの最適ポートフォリオについてマルチンゲールアプローチを使った理論解を導出．解を考察し，s</w:t>
            </w:r>
            <w:r>
              <w:t>peculative</w:t>
            </w:r>
            <w:r>
              <w:rPr>
                <w:rFonts w:hint="eastAsia"/>
              </w:rPr>
              <w:t>部分とヘッジ部分に分かれている事を示す．また各部分の特徴などを記載．数値例も記載</w:t>
            </w:r>
          </w:p>
        </w:tc>
      </w:tr>
      <w:tr w:rsidR="005C57ED" w14:paraId="3382E3D9" w14:textId="77777777" w:rsidTr="005C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7B4A911" w14:textId="3F6BCB68" w:rsidR="005C57ED" w:rsidRDefault="005C57ED" w:rsidP="005C57ED">
            <w:pPr>
              <w:pStyle w:val="a7"/>
              <w:ind w:leftChars="0" w:left="0"/>
              <w:jc w:val="center"/>
            </w:pPr>
            <w:r>
              <w:rPr>
                <w:rFonts w:hint="eastAsia"/>
              </w:rPr>
              <w:t>8</w:t>
            </w:r>
          </w:p>
        </w:tc>
        <w:tc>
          <w:tcPr>
            <w:tcW w:w="8218" w:type="dxa"/>
          </w:tcPr>
          <w:p w14:paraId="2E7BD838" w14:textId="77777777" w:rsidR="005C57ED" w:rsidRDefault="00B73FF3" w:rsidP="005C57ED">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これまでの章で論じた内容を米国のデータを用いて資産．</w:t>
            </w:r>
          </w:p>
          <w:p w14:paraId="798A9FFB" w14:textId="77777777" w:rsidR="00B73FF3" w:rsidRDefault="00B73FF3" w:rsidP="005C57ED">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・状態変数の定義</w:t>
            </w:r>
          </w:p>
          <w:p w14:paraId="2017186E" w14:textId="77777777" w:rsidR="00B73FF3" w:rsidRDefault="00B73FF3" w:rsidP="005C57ED">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・金利，割引債，リスク資産，保険料などのカリブレーション</w:t>
            </w:r>
          </w:p>
          <w:p w14:paraId="68C6F3C6" w14:textId="16D3865A" w:rsidR="00B73FF3" w:rsidRDefault="00B73FF3" w:rsidP="005C57ED">
            <w:pPr>
              <w:pStyle w:val="a7"/>
              <w:ind w:leftChars="0" w:left="0"/>
              <w:cnfStyle w:val="000000100000" w:firstRow="0" w:lastRow="0" w:firstColumn="0" w:lastColumn="0" w:oddVBand="0" w:evenVBand="0" w:oddHBand="1" w:evenHBand="0" w:firstRowFirstColumn="0" w:firstRowLastColumn="0" w:lastRowFirstColumn="0" w:lastRowLastColumn="0"/>
            </w:pPr>
            <w:r>
              <w:rPr>
                <w:rFonts w:hint="eastAsia"/>
              </w:rPr>
              <w:t>・最適ポートフォリオの算出</w:t>
            </w:r>
          </w:p>
        </w:tc>
      </w:tr>
      <w:tr w:rsidR="00D43F9E" w14:paraId="2D3A3F86" w14:textId="77777777" w:rsidTr="005C57ED">
        <w:tc>
          <w:tcPr>
            <w:cnfStyle w:val="001000000000" w:firstRow="0" w:lastRow="0" w:firstColumn="1" w:lastColumn="0" w:oddVBand="0" w:evenVBand="0" w:oddHBand="0" w:evenHBand="0" w:firstRowFirstColumn="0" w:firstRowLastColumn="0" w:lastRowFirstColumn="0" w:lastRowLastColumn="0"/>
            <w:tcW w:w="993" w:type="dxa"/>
          </w:tcPr>
          <w:p w14:paraId="3F1E488F" w14:textId="2EA3CAA0" w:rsidR="00D43F9E" w:rsidRDefault="00D43F9E" w:rsidP="005C57ED">
            <w:pPr>
              <w:pStyle w:val="a7"/>
              <w:ind w:leftChars="0" w:left="0"/>
              <w:jc w:val="center"/>
            </w:pPr>
            <w:r>
              <w:rPr>
                <w:rFonts w:hint="eastAsia"/>
              </w:rPr>
              <w:t>9</w:t>
            </w:r>
          </w:p>
        </w:tc>
        <w:tc>
          <w:tcPr>
            <w:tcW w:w="8218" w:type="dxa"/>
          </w:tcPr>
          <w:p w14:paraId="07D2635B" w14:textId="1EDD0159" w:rsidR="00D43F9E" w:rsidRDefault="00444F73" w:rsidP="005C57ED">
            <w:pPr>
              <w:pStyle w:val="a7"/>
              <w:ind w:leftChars="0" w:left="0"/>
              <w:cnfStyle w:val="000000000000" w:firstRow="0" w:lastRow="0" w:firstColumn="0" w:lastColumn="0" w:oddVBand="0" w:evenVBand="0" w:oddHBand="0" w:evenHBand="0" w:firstRowFirstColumn="0" w:firstRowLastColumn="0" w:lastRowFirstColumn="0" w:lastRowLastColumn="0"/>
            </w:pPr>
            <w:r>
              <w:t>Pure accumulation fund</w:t>
            </w:r>
            <w:r>
              <w:rPr>
                <w:rFonts w:hint="eastAsia"/>
              </w:rPr>
              <w:t>についての分析．このファンドでは，死亡リスクや長生きリスクを扱わず，</w:t>
            </w:r>
            <w:r w:rsidR="00971607">
              <w:rPr>
                <w:rFonts w:hint="eastAsia"/>
              </w:rPr>
              <w:t>集められた富は本人が死亡した場合に遺族へ渡される．このファンドと長生きリスクを考慮したファンドを比較する事でどのような差が出るのかを見るために計算．</w:t>
            </w:r>
          </w:p>
        </w:tc>
      </w:tr>
    </w:tbl>
    <w:p w14:paraId="000BB3DC" w14:textId="77777777" w:rsidR="005C57ED" w:rsidRPr="00330BFB" w:rsidRDefault="005C57ED" w:rsidP="005C57ED">
      <w:pPr>
        <w:pStyle w:val="a7"/>
        <w:ind w:leftChars="0" w:left="420"/>
      </w:pPr>
    </w:p>
    <w:sectPr w:rsidR="005C57ED" w:rsidRPr="00330BFB" w:rsidSect="00330BFB">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E027" w14:textId="77777777" w:rsidR="00355DB8" w:rsidRDefault="00355DB8" w:rsidP="00330BFB">
      <w:r>
        <w:separator/>
      </w:r>
    </w:p>
  </w:endnote>
  <w:endnote w:type="continuationSeparator" w:id="0">
    <w:p w14:paraId="5BF227F0" w14:textId="77777777" w:rsidR="00355DB8" w:rsidRDefault="00355DB8" w:rsidP="0033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5E58" w14:textId="77777777" w:rsidR="00355DB8" w:rsidRDefault="00355DB8" w:rsidP="00330BFB">
      <w:r>
        <w:separator/>
      </w:r>
    </w:p>
  </w:footnote>
  <w:footnote w:type="continuationSeparator" w:id="0">
    <w:p w14:paraId="0F0E2A14" w14:textId="77777777" w:rsidR="00355DB8" w:rsidRDefault="00355DB8" w:rsidP="00330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4BB"/>
    <w:multiLevelType w:val="hybridMultilevel"/>
    <w:tmpl w:val="083A1E2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6FDE5700"/>
    <w:multiLevelType w:val="hybridMultilevel"/>
    <w:tmpl w:val="A12A6F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DB2595C"/>
    <w:multiLevelType w:val="hybridMultilevel"/>
    <w:tmpl w:val="15969FB6"/>
    <w:lvl w:ilvl="0" w:tplc="BD588BFE">
      <w:numFmt w:val="bullet"/>
      <w:lvlText w:val="・"/>
      <w:lvlJc w:val="left"/>
      <w:pPr>
        <w:ind w:left="1279" w:hanging="360"/>
      </w:pPr>
      <w:rPr>
        <w:rFonts w:ascii="游明朝" w:eastAsia="游明朝" w:hAnsi="游明朝" w:cstheme="minorBidi" w:hint="eastAsia"/>
      </w:rPr>
    </w:lvl>
    <w:lvl w:ilvl="1" w:tplc="0409000B" w:tentative="1">
      <w:start w:val="1"/>
      <w:numFmt w:val="bullet"/>
      <w:lvlText w:val=""/>
      <w:lvlJc w:val="left"/>
      <w:pPr>
        <w:ind w:left="1759" w:hanging="420"/>
      </w:pPr>
      <w:rPr>
        <w:rFonts w:ascii="Wingdings" w:hAnsi="Wingdings" w:hint="default"/>
      </w:rPr>
    </w:lvl>
    <w:lvl w:ilvl="2" w:tplc="0409000D" w:tentative="1">
      <w:start w:val="1"/>
      <w:numFmt w:val="bullet"/>
      <w:lvlText w:val=""/>
      <w:lvlJc w:val="left"/>
      <w:pPr>
        <w:ind w:left="2179" w:hanging="420"/>
      </w:pPr>
      <w:rPr>
        <w:rFonts w:ascii="Wingdings" w:hAnsi="Wingdings" w:hint="default"/>
      </w:rPr>
    </w:lvl>
    <w:lvl w:ilvl="3" w:tplc="04090001" w:tentative="1">
      <w:start w:val="1"/>
      <w:numFmt w:val="bullet"/>
      <w:lvlText w:val=""/>
      <w:lvlJc w:val="left"/>
      <w:pPr>
        <w:ind w:left="2599" w:hanging="420"/>
      </w:pPr>
      <w:rPr>
        <w:rFonts w:ascii="Wingdings" w:hAnsi="Wingdings" w:hint="default"/>
      </w:rPr>
    </w:lvl>
    <w:lvl w:ilvl="4" w:tplc="0409000B" w:tentative="1">
      <w:start w:val="1"/>
      <w:numFmt w:val="bullet"/>
      <w:lvlText w:val=""/>
      <w:lvlJc w:val="left"/>
      <w:pPr>
        <w:ind w:left="3019" w:hanging="420"/>
      </w:pPr>
      <w:rPr>
        <w:rFonts w:ascii="Wingdings" w:hAnsi="Wingdings" w:hint="default"/>
      </w:rPr>
    </w:lvl>
    <w:lvl w:ilvl="5" w:tplc="0409000D" w:tentative="1">
      <w:start w:val="1"/>
      <w:numFmt w:val="bullet"/>
      <w:lvlText w:val=""/>
      <w:lvlJc w:val="left"/>
      <w:pPr>
        <w:ind w:left="3439" w:hanging="420"/>
      </w:pPr>
      <w:rPr>
        <w:rFonts w:ascii="Wingdings" w:hAnsi="Wingdings" w:hint="default"/>
      </w:rPr>
    </w:lvl>
    <w:lvl w:ilvl="6" w:tplc="04090001" w:tentative="1">
      <w:start w:val="1"/>
      <w:numFmt w:val="bullet"/>
      <w:lvlText w:val=""/>
      <w:lvlJc w:val="left"/>
      <w:pPr>
        <w:ind w:left="3859" w:hanging="420"/>
      </w:pPr>
      <w:rPr>
        <w:rFonts w:ascii="Wingdings" w:hAnsi="Wingdings" w:hint="default"/>
      </w:rPr>
    </w:lvl>
    <w:lvl w:ilvl="7" w:tplc="0409000B" w:tentative="1">
      <w:start w:val="1"/>
      <w:numFmt w:val="bullet"/>
      <w:lvlText w:val=""/>
      <w:lvlJc w:val="left"/>
      <w:pPr>
        <w:ind w:left="4279" w:hanging="420"/>
      </w:pPr>
      <w:rPr>
        <w:rFonts w:ascii="Wingdings" w:hAnsi="Wingdings" w:hint="default"/>
      </w:rPr>
    </w:lvl>
    <w:lvl w:ilvl="8" w:tplc="0409000D" w:tentative="1">
      <w:start w:val="1"/>
      <w:numFmt w:val="bullet"/>
      <w:lvlText w:val=""/>
      <w:lvlJc w:val="left"/>
      <w:pPr>
        <w:ind w:left="4699"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FB"/>
    <w:rsid w:val="00194B82"/>
    <w:rsid w:val="00197C59"/>
    <w:rsid w:val="00330BFB"/>
    <w:rsid w:val="00355DB8"/>
    <w:rsid w:val="003F34B5"/>
    <w:rsid w:val="00444F73"/>
    <w:rsid w:val="005C57ED"/>
    <w:rsid w:val="00741C8D"/>
    <w:rsid w:val="008C7246"/>
    <w:rsid w:val="00901184"/>
    <w:rsid w:val="00931DE4"/>
    <w:rsid w:val="00933B49"/>
    <w:rsid w:val="00971607"/>
    <w:rsid w:val="009A4DBB"/>
    <w:rsid w:val="00B73FF3"/>
    <w:rsid w:val="00D43F9E"/>
    <w:rsid w:val="00E226AC"/>
    <w:rsid w:val="00FF6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1E57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0BF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BFB"/>
    <w:pPr>
      <w:tabs>
        <w:tab w:val="center" w:pos="4252"/>
        <w:tab w:val="right" w:pos="8504"/>
      </w:tabs>
      <w:snapToGrid w:val="0"/>
    </w:pPr>
  </w:style>
  <w:style w:type="character" w:customStyle="1" w:styleId="a4">
    <w:name w:val="ヘッダー (文字)"/>
    <w:basedOn w:val="a0"/>
    <w:link w:val="a3"/>
    <w:uiPriority w:val="99"/>
    <w:rsid w:val="00330BFB"/>
  </w:style>
  <w:style w:type="paragraph" w:styleId="a5">
    <w:name w:val="footer"/>
    <w:basedOn w:val="a"/>
    <w:link w:val="a6"/>
    <w:uiPriority w:val="99"/>
    <w:unhideWhenUsed/>
    <w:rsid w:val="00330BFB"/>
    <w:pPr>
      <w:tabs>
        <w:tab w:val="center" w:pos="4252"/>
        <w:tab w:val="right" w:pos="8504"/>
      </w:tabs>
      <w:snapToGrid w:val="0"/>
    </w:pPr>
  </w:style>
  <w:style w:type="character" w:customStyle="1" w:styleId="a6">
    <w:name w:val="フッター (文字)"/>
    <w:basedOn w:val="a0"/>
    <w:link w:val="a5"/>
    <w:uiPriority w:val="99"/>
    <w:rsid w:val="00330BFB"/>
  </w:style>
  <w:style w:type="character" w:customStyle="1" w:styleId="10">
    <w:name w:val="見出し 1 (文字)"/>
    <w:basedOn w:val="a0"/>
    <w:link w:val="1"/>
    <w:uiPriority w:val="9"/>
    <w:rsid w:val="00330BFB"/>
    <w:rPr>
      <w:rFonts w:asciiTheme="majorHAnsi" w:eastAsiaTheme="majorEastAsia" w:hAnsiTheme="majorHAnsi" w:cstheme="majorBidi"/>
      <w:sz w:val="24"/>
      <w:szCs w:val="24"/>
    </w:rPr>
  </w:style>
  <w:style w:type="paragraph" w:styleId="a7">
    <w:name w:val="List Paragraph"/>
    <w:basedOn w:val="a"/>
    <w:uiPriority w:val="34"/>
    <w:qFormat/>
    <w:rsid w:val="00330BFB"/>
    <w:pPr>
      <w:ind w:leftChars="400" w:left="840"/>
    </w:pPr>
  </w:style>
  <w:style w:type="table" w:styleId="a8">
    <w:name w:val="Table Grid"/>
    <w:basedOn w:val="a1"/>
    <w:uiPriority w:val="39"/>
    <w:rsid w:val="00330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30BFB"/>
    <w:rPr>
      <w:color w:val="808080"/>
    </w:rPr>
  </w:style>
  <w:style w:type="table" w:styleId="4-1">
    <w:name w:val="Grid Table 4 Accent 1"/>
    <w:basedOn w:val="a1"/>
    <w:uiPriority w:val="49"/>
    <w:rsid w:val="005C57E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2021-04-22T04:07:00Z</dcterms:created>
  <dcterms:modified xsi:type="dcterms:W3CDTF">2021-04-22T04:07:00Z</dcterms:modified>
</cp:coreProperties>
</file>