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3637F" w14:textId="63D0EFF3" w:rsidR="00933B49" w:rsidRDefault="00F51D29">
      <w:bookmarkStart w:id="0" w:name="_Hlk65025397"/>
      <w:bookmarkEnd w:id="0"/>
      <w:r>
        <w:rPr>
          <w:rFonts w:hint="eastAsia"/>
        </w:rPr>
        <w:t>●投資パフォーマンス</w:t>
      </w:r>
      <w:r w:rsidR="00AE5DD2">
        <w:rPr>
          <w:rFonts w:hint="eastAsia"/>
        </w:rPr>
        <w:t>と計測手法</w:t>
      </w:r>
    </w:p>
    <w:p w14:paraId="61921A09" w14:textId="6619652F" w:rsidR="00AE5DD2" w:rsidRDefault="00AE5DD2">
      <w:r>
        <w:rPr>
          <w:rFonts w:hint="eastAsia"/>
        </w:rPr>
        <w:t>本節では</w:t>
      </w:r>
      <w:r w:rsidR="008D3AC2">
        <w:rPr>
          <w:rFonts w:hint="eastAsia"/>
        </w:rPr>
        <w:t>ESG投資のリターンをポジティブまたはネガティブとする理論的背景を記載する．</w:t>
      </w:r>
    </w:p>
    <w:p w14:paraId="774BB42E" w14:textId="2E4C4F6F" w:rsidR="00F77B85" w:rsidRDefault="00F77B85"/>
    <w:p w14:paraId="229E9681" w14:textId="49FC777B" w:rsidR="00F77B85" w:rsidRDefault="00F77B85" w:rsidP="003F7203">
      <w:pPr>
        <w:pStyle w:val="a3"/>
        <w:numPr>
          <w:ilvl w:val="0"/>
          <w:numId w:val="1"/>
        </w:numPr>
        <w:ind w:leftChars="0"/>
      </w:pPr>
      <w:r>
        <w:rPr>
          <w:rFonts w:hint="eastAsia"/>
        </w:rPr>
        <w:t>投資パフォーマンスがポジティブとする考え方</w:t>
      </w:r>
    </w:p>
    <w:p w14:paraId="75809667" w14:textId="515228D7" w:rsidR="003F7203" w:rsidRDefault="00547C6C" w:rsidP="003F7203">
      <w:pPr>
        <w:pStyle w:val="a3"/>
        <w:ind w:leftChars="0" w:left="420" w:firstLineChars="100" w:firstLine="210"/>
      </w:pPr>
      <w:r>
        <w:rPr>
          <w:rFonts w:hint="eastAsia"/>
        </w:rPr>
        <w:t>投資パフォーマンスがポジティブになる背景として主に以下の三点が挙げられる．</w:t>
      </w:r>
    </w:p>
    <w:p w14:paraId="33CB77B0" w14:textId="1FBB5994" w:rsidR="00547C6C" w:rsidRPr="00547C6C" w:rsidRDefault="00547C6C" w:rsidP="003F7203">
      <w:pPr>
        <w:pStyle w:val="a3"/>
        <w:ind w:leftChars="0" w:left="420" w:firstLineChars="100" w:firstLine="210"/>
      </w:pPr>
    </w:p>
    <w:p w14:paraId="716856E8" w14:textId="57F594C6" w:rsidR="00547C6C" w:rsidRDefault="00547C6C" w:rsidP="00547C6C">
      <w:pPr>
        <w:pStyle w:val="a3"/>
        <w:numPr>
          <w:ilvl w:val="0"/>
          <w:numId w:val="2"/>
        </w:numPr>
        <w:ind w:leftChars="0"/>
      </w:pPr>
      <w:r>
        <w:rPr>
          <w:rFonts w:hint="eastAsia"/>
        </w:rPr>
        <w:t>スクリーニングの過程で高いマネジメント能力を持つ会社が選定され，結果的に高いパフォーマンスにつながるため．</w:t>
      </w:r>
    </w:p>
    <w:p w14:paraId="03595383" w14:textId="5B6D01F1" w:rsidR="00547C6C" w:rsidRDefault="00547C6C" w:rsidP="00547C6C">
      <w:pPr>
        <w:pStyle w:val="a3"/>
        <w:numPr>
          <w:ilvl w:val="0"/>
          <w:numId w:val="2"/>
        </w:numPr>
        <w:ind w:leftChars="0"/>
      </w:pPr>
      <w:r>
        <w:rPr>
          <w:rFonts w:hint="eastAsia"/>
        </w:rPr>
        <w:t>ESGを考慮した企業への投資は</w:t>
      </w:r>
      <w:r w:rsidR="007626A6">
        <w:rPr>
          <w:rFonts w:hint="eastAsia"/>
        </w:rPr>
        <w:t>将来の収益向上をもたらし，長期的な企業価値を高めることにつながる．</w:t>
      </w:r>
    </w:p>
    <w:p w14:paraId="0E4BC504" w14:textId="1308ADE2" w:rsidR="007626A6" w:rsidRDefault="007626A6" w:rsidP="007626A6">
      <w:pPr>
        <w:pStyle w:val="a3"/>
        <w:numPr>
          <w:ilvl w:val="0"/>
          <w:numId w:val="2"/>
        </w:numPr>
        <w:ind w:leftChars="0"/>
      </w:pPr>
      <w:r>
        <w:rPr>
          <w:rFonts w:hint="eastAsia"/>
        </w:rPr>
        <w:t>ESGを考慮すること通じてステークホルダーとの関係向上につながる．すると以下の過程で株価の上昇につながる．</w:t>
      </w:r>
    </w:p>
    <w:p w14:paraId="4F0373CB" w14:textId="319B8231" w:rsidR="007626A6" w:rsidRDefault="007626A6" w:rsidP="00D72D81">
      <w:pPr>
        <w:pStyle w:val="a3"/>
        <w:numPr>
          <w:ilvl w:val="1"/>
          <w:numId w:val="2"/>
        </w:numPr>
        <w:ind w:leftChars="0" w:left="1560"/>
      </w:pPr>
      <w:r>
        <w:rPr>
          <w:rFonts w:hint="eastAsia"/>
        </w:rPr>
        <w:t>ステークホルダーとの関係向上を通じてリスク削減効果が得られる．</w:t>
      </w:r>
    </w:p>
    <w:p w14:paraId="35DE56A9" w14:textId="20B73989" w:rsidR="007626A6" w:rsidRDefault="007626A6" w:rsidP="00D72D81">
      <w:pPr>
        <w:pStyle w:val="a3"/>
        <w:numPr>
          <w:ilvl w:val="1"/>
          <w:numId w:val="2"/>
        </w:numPr>
        <w:ind w:leftChars="0" w:left="1560"/>
      </w:pPr>
      <w:r>
        <w:rPr>
          <w:rFonts w:hint="eastAsia"/>
        </w:rPr>
        <w:t>リスクプレミアムが低下し，</w:t>
      </w:r>
      <w:r w:rsidR="00D72D81">
        <w:rPr>
          <w:rFonts w:hint="eastAsia"/>
        </w:rPr>
        <w:t>投資家が要求していると想定される収益率である，資本コストも低下する．</w:t>
      </w:r>
    </w:p>
    <w:p w14:paraId="78C6822A" w14:textId="574C1A87" w:rsidR="00934486" w:rsidRDefault="00D72D81" w:rsidP="00934486">
      <w:pPr>
        <w:pStyle w:val="a3"/>
        <w:numPr>
          <w:ilvl w:val="1"/>
          <w:numId w:val="2"/>
        </w:numPr>
        <w:ind w:leftChars="0" w:left="1560"/>
      </w:pPr>
      <w:r>
        <w:rPr>
          <w:rFonts w:hint="eastAsia"/>
        </w:rPr>
        <w:t>DCF法で企業価値を算出する際に使用する割引率が低下し，企業価値が上昇する．なお，DCF法による企業価値の算出は以下の算式を用いて計算される．</w:t>
      </w:r>
    </w:p>
    <w:p w14:paraId="76AEB7D7" w14:textId="111B354B" w:rsidR="00934486" w:rsidRPr="00934486" w:rsidRDefault="00934486" w:rsidP="00AF74C4">
      <w:pPr>
        <w:ind w:left="425" w:firstLineChars="100" w:firstLine="210"/>
      </w:pPr>
      <w:r>
        <w:rPr>
          <w:rFonts w:hint="eastAsia"/>
        </w:rPr>
        <w:t>DCF法における，定成長モデルでは以下の算式に基づいて企業価値が算出される．上記②は以下の算式における成長率</w:t>
      </w:r>
      <m:oMath>
        <m:r>
          <w:rPr>
            <w:rFonts w:ascii="Cambria Math" w:hAnsi="Cambria Math"/>
          </w:rPr>
          <m:t>g</m:t>
        </m:r>
      </m:oMath>
      <w:r>
        <w:rPr>
          <w:rFonts w:hint="eastAsia"/>
        </w:rPr>
        <w:t>を高め，上記③は資本コスト</w:t>
      </w:r>
      <m:oMath>
        <m:r>
          <w:rPr>
            <w:rFonts w:ascii="Cambria Math" w:hAnsi="Cambria Math"/>
          </w:rPr>
          <m:t>r</m:t>
        </m:r>
      </m:oMath>
      <w:r>
        <w:rPr>
          <w:rFonts w:hint="eastAsia"/>
        </w:rPr>
        <w:t>を低下させる．</w:t>
      </w:r>
    </w:p>
    <w:tbl>
      <w:tblPr>
        <w:tblStyle w:val="a5"/>
        <w:tblW w:w="8079" w:type="dxa"/>
        <w:tblInd w:w="421" w:type="dxa"/>
        <w:tblLook w:val="04A0" w:firstRow="1" w:lastRow="0" w:firstColumn="1" w:lastColumn="0" w:noHBand="0" w:noVBand="1"/>
      </w:tblPr>
      <w:tblGrid>
        <w:gridCol w:w="7371"/>
        <w:gridCol w:w="708"/>
      </w:tblGrid>
      <w:tr w:rsidR="00D72D81" w14:paraId="4E3CF288" w14:textId="77777777" w:rsidTr="00934486">
        <w:tc>
          <w:tcPr>
            <w:tcW w:w="7371"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4465779F" w14:textId="0767D705" w:rsidR="00D72D81" w:rsidRDefault="00D72D81" w:rsidP="00934486">
            <w:pPr>
              <w:pStyle w:val="a3"/>
              <w:ind w:leftChars="44" w:left="92"/>
            </w:pPr>
            <m:oMathPara>
              <m:oMath>
                <m:r>
                  <w:rPr>
                    <w:rFonts w:ascii="Cambria Math" w:hAnsi="Cambria Math"/>
                  </w:rPr>
                  <m:t>V=</m:t>
                </m:r>
                <m:nary>
                  <m:naryPr>
                    <m:chr m:val="∑"/>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1+g</m:t>
                                </m:r>
                              </m:e>
                            </m:d>
                          </m:e>
                          <m:sup>
                            <m:r>
                              <w:rPr>
                                <w:rFonts w:ascii="Cambria Math" w:hAnsi="Cambria Math"/>
                              </w:rPr>
                              <m:t>i-1</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m:t>
                            </m:r>
                          </m:sup>
                        </m:sSup>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r-g</m:t>
                    </m:r>
                  </m:den>
                </m:f>
              </m:oMath>
            </m:oMathPara>
          </w:p>
        </w:tc>
        <w:tc>
          <w:tcPr>
            <w:tcW w:w="70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3AAE5C2" w14:textId="77777777" w:rsidR="00D72D81" w:rsidRDefault="00D72D81" w:rsidP="00D72D81">
            <w:pPr>
              <w:pStyle w:val="a3"/>
              <w:ind w:leftChars="0" w:left="0"/>
            </w:pPr>
          </w:p>
        </w:tc>
      </w:tr>
    </w:tbl>
    <w:p w14:paraId="19FFC509" w14:textId="127EDF8E" w:rsidR="00D72D81" w:rsidRDefault="00D72D81" w:rsidP="00934486"/>
    <w:p w14:paraId="0318853D" w14:textId="2CA5C8B8" w:rsidR="00F51D29" w:rsidRDefault="00AF74C4" w:rsidP="00AF74C4">
      <w:pPr>
        <w:ind w:firstLineChars="100" w:firstLine="210"/>
      </w:pPr>
      <w:r>
        <w:rPr>
          <w:rFonts w:hint="eastAsia"/>
        </w:rPr>
        <w:t>ESG活動と企業価値の関係について</w:t>
      </w:r>
      <w:r w:rsidR="00AB1BC1">
        <w:rPr>
          <w:rFonts w:hint="eastAsia"/>
        </w:rPr>
        <w:t>は</w:t>
      </w:r>
      <w:r>
        <w:rPr>
          <w:rFonts w:hint="eastAsia"/>
        </w:rPr>
        <w:t>過去には否定的な見方</w:t>
      </w:r>
      <w:r>
        <w:rPr>
          <w:rStyle w:val="a8"/>
        </w:rPr>
        <w:footnoteReference w:id="1"/>
      </w:r>
      <w:r>
        <w:rPr>
          <w:rFonts w:hint="eastAsia"/>
        </w:rPr>
        <w:t>もあった．</w:t>
      </w:r>
      <w:r w:rsidR="00AB1BC1">
        <w:rPr>
          <w:rFonts w:hint="eastAsia"/>
        </w:rPr>
        <w:t>しかしながら，ESG要素が企業価値にプラスの影響を与えるとの考え方が多くみられる．これらの多くは</w:t>
      </w:r>
      <w:r w:rsidR="00D527E8">
        <w:rPr>
          <w:rFonts w:hint="eastAsia"/>
        </w:rPr>
        <w:t>ステークホルダーとの関係向上，周囲との関係改善による情報の非対称性の低下，反社会的活動を招きかねないリスク減少などを通じた企業活動に関するリスクの軽減やサステナビリティの向上により企業価値向上や資本コストの低下につながるとしている．</w:t>
      </w:r>
    </w:p>
    <w:p w14:paraId="6F12107C" w14:textId="230F567E" w:rsidR="007F0C04" w:rsidRDefault="007F0C04" w:rsidP="00AF74C4">
      <w:pPr>
        <w:ind w:firstLineChars="100" w:firstLine="210"/>
      </w:pPr>
    </w:p>
    <w:p w14:paraId="1E75D38D" w14:textId="3B3301FE" w:rsidR="007F0C04" w:rsidRDefault="007F0C04" w:rsidP="007F0C04">
      <w:pPr>
        <w:pStyle w:val="a3"/>
        <w:numPr>
          <w:ilvl w:val="0"/>
          <w:numId w:val="1"/>
        </w:numPr>
        <w:ind w:leftChars="0"/>
      </w:pPr>
      <w:r>
        <w:rPr>
          <w:rFonts w:hint="eastAsia"/>
        </w:rPr>
        <w:t>投資パフォーマンスがネガティブとする考え方</w:t>
      </w:r>
    </w:p>
    <w:p w14:paraId="1C3CDB96" w14:textId="4854B9F2" w:rsidR="007F0C04" w:rsidRDefault="007F0C04" w:rsidP="007F0C04">
      <w:pPr>
        <w:pStyle w:val="a3"/>
        <w:ind w:leftChars="0" w:left="420"/>
      </w:pPr>
      <w:r>
        <w:rPr>
          <w:rFonts w:hint="eastAsia"/>
        </w:rPr>
        <w:t>投資パフォーマンスがネガティブになる背景として主に以下の二点が挙げられる．</w:t>
      </w:r>
    </w:p>
    <w:p w14:paraId="756E49FC" w14:textId="23194DEC" w:rsidR="007F0C04" w:rsidRDefault="007F0C04" w:rsidP="007F0C04">
      <w:pPr>
        <w:pStyle w:val="a3"/>
        <w:ind w:leftChars="0" w:left="420"/>
      </w:pPr>
    </w:p>
    <w:p w14:paraId="1CCF1680" w14:textId="6224BE3A" w:rsidR="007F0C04" w:rsidRDefault="007F0C04" w:rsidP="007F0C04">
      <w:pPr>
        <w:pStyle w:val="a3"/>
        <w:numPr>
          <w:ilvl w:val="0"/>
          <w:numId w:val="13"/>
        </w:numPr>
        <w:ind w:leftChars="0"/>
      </w:pPr>
      <w:r>
        <w:rPr>
          <w:rFonts w:hint="eastAsia"/>
        </w:rPr>
        <w:lastRenderedPageBreak/>
        <w:t>スクリーニングの過程で投資対象に制約が加えられるため</w:t>
      </w:r>
      <w:r w:rsidR="00C9215E">
        <w:rPr>
          <w:rFonts w:hint="eastAsia"/>
        </w:rPr>
        <w:t>（いわゆるダイベストメント等のため）</w:t>
      </w:r>
      <w:r>
        <w:rPr>
          <w:rFonts w:hint="eastAsia"/>
        </w:rPr>
        <w:t>に現代ポートフォリオ理論の観点から十分に分散投資ができない．</w:t>
      </w:r>
    </w:p>
    <w:p w14:paraId="30F8AE87" w14:textId="132E8234" w:rsidR="007F0C04" w:rsidRDefault="007F0C04" w:rsidP="007F0C04">
      <w:pPr>
        <w:pStyle w:val="a3"/>
        <w:numPr>
          <w:ilvl w:val="0"/>
          <w:numId w:val="13"/>
        </w:numPr>
        <w:ind w:leftChars="0"/>
      </w:pPr>
      <w:r>
        <w:rPr>
          <w:rFonts w:hint="eastAsia"/>
        </w:rPr>
        <w:t>銘柄選択等のためのコスト負担も低いパフォーマンスにつながる</w:t>
      </w:r>
    </w:p>
    <w:p w14:paraId="7A45BC1C" w14:textId="7D51F125" w:rsidR="007F0C04" w:rsidRDefault="007F0C04" w:rsidP="007F0C04">
      <w:pPr>
        <w:ind w:left="420"/>
      </w:pPr>
    </w:p>
    <w:p w14:paraId="4B9D1546" w14:textId="5E9CEF3B" w:rsidR="007F0C04" w:rsidRDefault="00C9215E" w:rsidP="00C9215E">
      <w:pPr>
        <w:ind w:left="420" w:firstLineChars="100" w:firstLine="210"/>
      </w:pPr>
      <w:r>
        <w:rPr>
          <w:rFonts w:hint="eastAsia"/>
        </w:rPr>
        <w:t>このような観点から，GPIFもESG投資においてダイベストメントの考え方は取らないとしている．また，米国の年金基金カルパースにおいてもそれまでのダイベストメンの方針で運用パフォーマンスが悪化したとして，幹部が交代することとなったと言われている</w:t>
      </w:r>
      <w:r w:rsidR="00D03658">
        <w:rPr>
          <w:rStyle w:val="a8"/>
        </w:rPr>
        <w:footnoteReference w:id="2"/>
      </w:r>
      <w:r>
        <w:rPr>
          <w:rFonts w:hint="eastAsia"/>
        </w:rPr>
        <w:t>．</w:t>
      </w:r>
    </w:p>
    <w:p w14:paraId="02C3313C" w14:textId="78BCE50E" w:rsidR="00427A69" w:rsidRDefault="00427A69" w:rsidP="00AF74C4">
      <w:pPr>
        <w:ind w:firstLineChars="100" w:firstLine="210"/>
      </w:pPr>
    </w:p>
    <w:p w14:paraId="01AC4160" w14:textId="67962B18" w:rsidR="007F0C04" w:rsidRDefault="00D03658" w:rsidP="00AF74C4">
      <w:pPr>
        <w:ind w:firstLineChars="100" w:firstLine="210"/>
      </w:pPr>
      <w:r>
        <w:rPr>
          <w:rFonts w:hint="eastAsia"/>
        </w:rPr>
        <w:t>●パフォーマンス計測</w:t>
      </w:r>
    </w:p>
    <w:p w14:paraId="07002F88" w14:textId="412DFC33" w:rsidR="00D03658" w:rsidRDefault="00D03658" w:rsidP="00D03658">
      <w:pPr>
        <w:ind w:firstLineChars="100" w:firstLine="210"/>
      </w:pPr>
      <w:r>
        <w:rPr>
          <w:rFonts w:hint="eastAsia"/>
        </w:rPr>
        <w:t>本節ではESG投資のパフォーマンスを計測する方法として，既存研究等で使用される方法を記載する．主に以下の</w:t>
      </w:r>
      <w:r w:rsidR="008E3BD7">
        <w:rPr>
          <w:rFonts w:hint="eastAsia"/>
        </w:rPr>
        <w:t>3つの方法が挙げられる</w:t>
      </w:r>
      <w:r>
        <w:rPr>
          <w:rFonts w:hint="eastAsia"/>
        </w:rPr>
        <w:t>．</w:t>
      </w:r>
    </w:p>
    <w:p w14:paraId="48090D09" w14:textId="77777777" w:rsidR="00D03658" w:rsidRPr="008E3BD7" w:rsidRDefault="00D03658" w:rsidP="00D03658">
      <w:pPr>
        <w:ind w:firstLineChars="100" w:firstLine="210"/>
      </w:pPr>
    </w:p>
    <w:p w14:paraId="75918333" w14:textId="74C025C5" w:rsidR="00D03658" w:rsidRDefault="00D03658" w:rsidP="00D03658">
      <w:pPr>
        <w:pStyle w:val="a3"/>
        <w:numPr>
          <w:ilvl w:val="0"/>
          <w:numId w:val="14"/>
        </w:numPr>
        <w:ind w:leftChars="0"/>
      </w:pPr>
      <w:r>
        <w:rPr>
          <w:rFonts w:hint="eastAsia"/>
        </w:rPr>
        <w:t>E</w:t>
      </w:r>
      <w:r>
        <w:t>SG</w:t>
      </w:r>
      <w:r>
        <w:rPr>
          <w:rFonts w:hint="eastAsia"/>
        </w:rPr>
        <w:t>ファンド・指数のパフォーマンス単純比較</w:t>
      </w:r>
    </w:p>
    <w:p w14:paraId="7AB72A57" w14:textId="083FEB72" w:rsidR="00D03658" w:rsidRDefault="00D03658" w:rsidP="00D03658">
      <w:pPr>
        <w:pStyle w:val="a3"/>
        <w:numPr>
          <w:ilvl w:val="0"/>
          <w:numId w:val="14"/>
        </w:numPr>
        <w:ind w:leftChars="0"/>
      </w:pPr>
      <w:r>
        <w:rPr>
          <w:rFonts w:hint="eastAsia"/>
        </w:rPr>
        <w:t>CAPM・</w:t>
      </w:r>
      <w:proofErr w:type="spellStart"/>
      <w:r>
        <w:t>Fama</w:t>
      </w:r>
      <w:proofErr w:type="spellEnd"/>
      <w:r>
        <w:t>-French</w:t>
      </w:r>
      <w:r>
        <w:rPr>
          <w:rFonts w:hint="eastAsia"/>
        </w:rPr>
        <w:t>ファクターモデルの利用</w:t>
      </w:r>
    </w:p>
    <w:p w14:paraId="1738299E" w14:textId="284D5B45" w:rsidR="00D03658" w:rsidRDefault="00D03658" w:rsidP="00D03658">
      <w:pPr>
        <w:pStyle w:val="a3"/>
        <w:numPr>
          <w:ilvl w:val="0"/>
          <w:numId w:val="14"/>
        </w:numPr>
        <w:ind w:leftChars="0"/>
      </w:pPr>
      <w:r>
        <w:rPr>
          <w:rFonts w:hint="eastAsia"/>
        </w:rPr>
        <w:t>ESGファクターが有意であるか否かを検証</w:t>
      </w:r>
    </w:p>
    <w:p w14:paraId="3AB331BF" w14:textId="65BAB313" w:rsidR="00D03658" w:rsidRDefault="00D03658" w:rsidP="00D03658"/>
    <w:p w14:paraId="51A92316" w14:textId="4590602A" w:rsidR="00697094" w:rsidRDefault="00D03658" w:rsidP="00D03658">
      <w:r>
        <w:rPr>
          <w:rFonts w:hint="eastAsia"/>
        </w:rPr>
        <w:t>①</w:t>
      </w:r>
      <w:r w:rsidR="008E3BD7">
        <w:rPr>
          <w:rFonts w:hint="eastAsia"/>
        </w:rPr>
        <w:t>はESG関連ファンドや指数</w:t>
      </w:r>
      <w:r w:rsidR="008E3BD7">
        <w:rPr>
          <w:rStyle w:val="a8"/>
        </w:rPr>
        <w:footnoteReference w:id="3"/>
      </w:r>
      <w:r w:rsidR="008E3BD7">
        <w:rPr>
          <w:rFonts w:hint="eastAsia"/>
        </w:rPr>
        <w:t>の投資パフォーマンスをベンチマークとなるリターン（日本で言えば日経平均やTOPIXなど）と比較するものである． ②は</w:t>
      </w:r>
      <w:r w:rsidR="00697094">
        <w:rPr>
          <w:rFonts w:hint="eastAsia"/>
        </w:rPr>
        <w:t>CAPMや</w:t>
      </w:r>
      <w:proofErr w:type="spellStart"/>
      <w:r w:rsidR="00697094">
        <w:t>Fama-Frech</w:t>
      </w:r>
      <w:proofErr w:type="spellEnd"/>
      <w:r w:rsidR="00697094">
        <w:rPr>
          <w:rFonts w:hint="eastAsia"/>
        </w:rPr>
        <w:t>の3ファクターモデル・5ファクターモデルを用いて</w:t>
      </w:r>
      <m:oMath>
        <m:r>
          <w:rPr>
            <w:rFonts w:ascii="Cambria Math" w:hAnsi="Cambria Math"/>
          </w:rPr>
          <m:t>α</m:t>
        </m:r>
      </m:oMath>
      <w:r w:rsidR="00697094">
        <w:rPr>
          <w:rFonts w:hint="eastAsia"/>
        </w:rPr>
        <w:t>の正負や統計的な有意性を検証する．③は被説明変数に株式リターン，説明変数にESGスコアなどのESG関連指標とROE等の財務諸表を入れて統計的に分析する方法である．また，被説明変数は株式リターンの代わりに企業価値指標（</w:t>
      </w:r>
      <w:r w:rsidR="00A46DA5">
        <w:rPr>
          <w:rFonts w:hint="eastAsia"/>
        </w:rPr>
        <w:t>P</w:t>
      </w:r>
      <w:r w:rsidR="00A46DA5">
        <w:t>BR</w:t>
      </w:r>
      <w:r w:rsidR="00A46DA5">
        <w:rPr>
          <w:rFonts w:hint="eastAsia"/>
        </w:rPr>
        <w:t>等</w:t>
      </w:r>
      <w:r w:rsidR="00697094">
        <w:rPr>
          <w:rFonts w:hint="eastAsia"/>
        </w:rPr>
        <w:t>）</w:t>
      </w:r>
      <w:r w:rsidR="00A46DA5">
        <w:rPr>
          <w:rFonts w:hint="eastAsia"/>
        </w:rPr>
        <w:t>や収益性指標（R</w:t>
      </w:r>
      <w:r w:rsidR="00A46DA5">
        <w:t>OE,ROA</w:t>
      </w:r>
      <w:r w:rsidR="00A46DA5">
        <w:rPr>
          <w:rFonts w:hint="eastAsia"/>
        </w:rPr>
        <w:t>等）にして分析をする場合もある．</w:t>
      </w:r>
    </w:p>
    <w:p w14:paraId="2AC82365" w14:textId="5B02B4BA" w:rsidR="00427A69" w:rsidRPr="00697094" w:rsidRDefault="00427A69" w:rsidP="00AF74C4">
      <w:pPr>
        <w:ind w:firstLineChars="100" w:firstLine="210"/>
      </w:pPr>
    </w:p>
    <w:p w14:paraId="11DC3803" w14:textId="4B96A339" w:rsidR="00427A69" w:rsidRDefault="00427A69" w:rsidP="00427A69">
      <w:pPr>
        <w:pStyle w:val="a3"/>
        <w:numPr>
          <w:ilvl w:val="0"/>
          <w:numId w:val="4"/>
        </w:numPr>
        <w:ind w:leftChars="0"/>
      </w:pPr>
      <w:proofErr w:type="spellStart"/>
      <w:r>
        <w:rPr>
          <w:rFonts w:hint="eastAsia"/>
        </w:rPr>
        <w:t>Amundi</w:t>
      </w:r>
      <w:proofErr w:type="spellEnd"/>
      <w:r>
        <w:t>(2018)</w:t>
      </w:r>
      <w:r>
        <w:rPr>
          <w:rFonts w:hint="eastAsia"/>
        </w:rPr>
        <w:t>のロジック</w:t>
      </w:r>
    </w:p>
    <w:p w14:paraId="4BE61553" w14:textId="77777777" w:rsidR="00AA44C0" w:rsidRDefault="00AA44C0" w:rsidP="00AA44C0">
      <w:pPr>
        <w:pStyle w:val="a3"/>
        <w:ind w:leftChars="0" w:left="425" w:firstLineChars="100" w:firstLine="210"/>
      </w:pPr>
      <w:proofErr w:type="spellStart"/>
      <w:r>
        <w:rPr>
          <w:rFonts w:hint="eastAsia"/>
        </w:rPr>
        <w:t>Amundi</w:t>
      </w:r>
      <w:proofErr w:type="spellEnd"/>
      <w:r>
        <w:t>(2018)</w:t>
      </w:r>
      <w:r>
        <w:rPr>
          <w:rFonts w:hint="eastAsia"/>
        </w:rPr>
        <w:t>では，ESGファクターのリスクファクターとしての有用性を検証している．本節では，この内容についてレビューを行う．</w:t>
      </w:r>
    </w:p>
    <w:p w14:paraId="6D009F24" w14:textId="77777777" w:rsidR="00AA44C0" w:rsidRPr="00AA44C0" w:rsidRDefault="00AA44C0" w:rsidP="00AA44C0">
      <w:pPr>
        <w:pStyle w:val="a3"/>
        <w:ind w:leftChars="0" w:left="425"/>
      </w:pPr>
    </w:p>
    <w:p w14:paraId="61D614D7" w14:textId="631DCC66" w:rsidR="00427A69" w:rsidRDefault="00AA44C0" w:rsidP="00AA44C0">
      <w:pPr>
        <w:pStyle w:val="a3"/>
        <w:numPr>
          <w:ilvl w:val="1"/>
          <w:numId w:val="4"/>
        </w:numPr>
        <w:ind w:leftChars="0"/>
      </w:pPr>
      <w:r>
        <w:rPr>
          <w:rFonts w:hint="eastAsia"/>
        </w:rPr>
        <w:t>使用データ</w:t>
      </w:r>
    </w:p>
    <w:p w14:paraId="5436BB39" w14:textId="77777777" w:rsidR="00356AC7" w:rsidRDefault="00EF2BEE" w:rsidP="00AA44C0">
      <w:pPr>
        <w:pStyle w:val="a3"/>
        <w:ind w:leftChars="0" w:left="567" w:firstLineChars="100" w:firstLine="210"/>
      </w:pPr>
      <w:r>
        <w:rPr>
          <w:rFonts w:hint="eastAsia"/>
        </w:rPr>
        <w:t>ESGスコアとして</w:t>
      </w:r>
      <w:proofErr w:type="spellStart"/>
      <w:r>
        <w:t>Amundi</w:t>
      </w:r>
      <w:proofErr w:type="spellEnd"/>
      <w:r>
        <w:rPr>
          <w:rFonts w:hint="eastAsia"/>
        </w:rPr>
        <w:t>独自のものを使用する．</w:t>
      </w:r>
      <w:r w:rsidR="00D52C0D">
        <w:rPr>
          <w:rFonts w:hint="eastAsia"/>
        </w:rPr>
        <w:t>このスコアは</w:t>
      </w:r>
      <w:proofErr w:type="spellStart"/>
      <w:r w:rsidR="00D52C0D">
        <w:rPr>
          <w:rFonts w:hint="eastAsia"/>
        </w:rPr>
        <w:t>Afnor</w:t>
      </w:r>
      <w:proofErr w:type="spellEnd"/>
    </w:p>
    <w:p w14:paraId="0937633D" w14:textId="13739563" w:rsidR="00AA44C0" w:rsidRDefault="00E36274" w:rsidP="00AA44C0">
      <w:pPr>
        <w:pStyle w:val="a3"/>
        <w:ind w:leftChars="0" w:left="567" w:firstLineChars="100" w:firstLine="210"/>
      </w:pPr>
      <w:r>
        <w:rPr>
          <w:rFonts w:hint="eastAsia"/>
        </w:rPr>
        <w:t>（フランス規格協会）</w:t>
      </w:r>
      <w:r w:rsidR="00D52C0D">
        <w:rPr>
          <w:rFonts w:hint="eastAsia"/>
        </w:rPr>
        <w:t>と呼ばれるフランスの国家機関によって認証されたスコアで</w:t>
      </w:r>
      <w:r w:rsidR="00D52C0D">
        <w:rPr>
          <w:rFonts w:hint="eastAsia"/>
        </w:rPr>
        <w:lastRenderedPageBreak/>
        <w:t>あり，</w:t>
      </w:r>
      <w:r w:rsidR="00F03B93">
        <w:rPr>
          <w:rFonts w:hint="eastAsia"/>
        </w:rPr>
        <w:t>ESGに関するデータを提供する５つの情報提供機関によるコンセンサスを得てスコアを決定することで，スコアを構成する際のバイアスを軽減していることが特徴である．</w:t>
      </w:r>
    </w:p>
    <w:p w14:paraId="078A4A20" w14:textId="3C199B8E" w:rsidR="0014582B" w:rsidRDefault="00F03B93" w:rsidP="0014582B">
      <w:pPr>
        <w:pStyle w:val="a3"/>
        <w:ind w:leftChars="0" w:left="567" w:firstLineChars="100" w:firstLine="210"/>
      </w:pPr>
      <w:r>
        <w:rPr>
          <w:rFonts w:hint="eastAsia"/>
        </w:rPr>
        <w:t>当該スコア</w:t>
      </w:r>
      <w:r w:rsidR="0014582B">
        <w:rPr>
          <w:rFonts w:hint="eastAsia"/>
        </w:rPr>
        <w:t>は全セクターに適用される1</w:t>
      </w:r>
      <w:r w:rsidR="0014582B">
        <w:t>5</w:t>
      </w:r>
      <w:r w:rsidR="0014582B">
        <w:rPr>
          <w:rFonts w:hint="eastAsia"/>
        </w:rPr>
        <w:t>の基準と，特定のセクターに適用される2</w:t>
      </w:r>
      <w:r w:rsidR="0014582B">
        <w:t>2</w:t>
      </w:r>
      <w:r w:rsidR="0014582B">
        <w:rPr>
          <w:rFonts w:hint="eastAsia"/>
        </w:rPr>
        <w:t>の基準を基に決定さ</w:t>
      </w:r>
      <w:r w:rsidR="0014582B" w:rsidRPr="00C07AE3">
        <w:rPr>
          <w:rFonts w:hint="eastAsia"/>
        </w:rPr>
        <w:t>れる．</w:t>
      </w:r>
      <w:r w:rsidR="00C07AE3" w:rsidRPr="00C07AE3">
        <w:fldChar w:fldCharType="begin"/>
      </w:r>
      <w:r w:rsidR="00C07AE3" w:rsidRPr="00C07AE3">
        <w:instrText xml:space="preserve"> </w:instrText>
      </w:r>
      <w:r w:rsidR="00C07AE3" w:rsidRPr="00C07AE3">
        <w:rPr>
          <w:rFonts w:hint="eastAsia"/>
        </w:rPr>
        <w:instrText>REF _Ref64811156 \h</w:instrText>
      </w:r>
      <w:r w:rsidR="00C07AE3" w:rsidRPr="00C07AE3">
        <w:instrText xml:space="preserve">  \* MERGEFORMAT </w:instrText>
      </w:r>
      <w:r w:rsidR="00C07AE3" w:rsidRPr="00C07AE3">
        <w:fldChar w:fldCharType="separate"/>
      </w:r>
      <w:r w:rsidR="001B407A" w:rsidRPr="00D9114D">
        <w:t xml:space="preserve">表 </w:t>
      </w:r>
      <w:r w:rsidR="001B407A" w:rsidRPr="001B407A">
        <w:rPr>
          <w:noProof/>
        </w:rPr>
        <w:t>1</w:t>
      </w:r>
      <w:r w:rsidR="00C07AE3" w:rsidRPr="00C07AE3">
        <w:fldChar w:fldCharType="end"/>
      </w:r>
      <w:r w:rsidR="0014582B" w:rsidRPr="00C07AE3">
        <w:rPr>
          <w:rFonts w:hint="eastAsia"/>
        </w:rPr>
        <w:t>は</w:t>
      </w:r>
      <w:r w:rsidR="0014582B">
        <w:rPr>
          <w:rFonts w:hint="eastAsia"/>
        </w:rPr>
        <w:t>これらの基準の一部を記載している．</w:t>
      </w:r>
      <w:r w:rsidR="00C07AE3">
        <w:rPr>
          <w:rFonts w:hint="eastAsia"/>
        </w:rPr>
        <w:t>さらに，セクターによってそれぞれの基準に割り当てる重みが異なる．</w:t>
      </w:r>
      <w:r w:rsidR="00F113F2">
        <w:rPr>
          <w:rFonts w:hint="eastAsia"/>
        </w:rPr>
        <w:t>例と</w:t>
      </w:r>
      <w:r w:rsidR="00F113F2" w:rsidRPr="00677CB2">
        <w:rPr>
          <w:rFonts w:hint="eastAsia"/>
        </w:rPr>
        <w:t>して，</w:t>
      </w:r>
      <w:r w:rsidR="00677CB2" w:rsidRPr="00677CB2">
        <w:fldChar w:fldCharType="begin"/>
      </w:r>
      <w:r w:rsidR="00677CB2" w:rsidRPr="00677CB2">
        <w:instrText xml:space="preserve"> </w:instrText>
      </w:r>
      <w:r w:rsidR="00677CB2" w:rsidRPr="00677CB2">
        <w:rPr>
          <w:rFonts w:hint="eastAsia"/>
        </w:rPr>
        <w:instrText>REF _Ref65026347 \h</w:instrText>
      </w:r>
      <w:r w:rsidR="00677CB2" w:rsidRPr="00677CB2">
        <w:instrText xml:space="preserve">  \* MERGEFORMAT </w:instrText>
      </w:r>
      <w:r w:rsidR="00677CB2" w:rsidRPr="00677CB2">
        <w:fldChar w:fldCharType="separate"/>
      </w:r>
      <w:r w:rsidR="00677CB2" w:rsidRPr="00677CB2">
        <w:t xml:space="preserve">表 </w:t>
      </w:r>
      <w:r w:rsidR="00677CB2" w:rsidRPr="00677CB2">
        <w:rPr>
          <w:noProof/>
        </w:rPr>
        <w:t>2</w:t>
      </w:r>
      <w:r w:rsidR="00677CB2" w:rsidRPr="00677CB2">
        <w:fldChar w:fldCharType="end"/>
      </w:r>
      <w:r w:rsidR="00F113F2" w:rsidRPr="00677CB2">
        <w:rPr>
          <w:rFonts w:hint="eastAsia"/>
        </w:rPr>
        <w:t>に自動</w:t>
      </w:r>
      <w:r w:rsidR="00F113F2">
        <w:rPr>
          <w:rFonts w:hint="eastAsia"/>
        </w:rPr>
        <w:t>車，銀行，鉱業における重みを記載する．</w:t>
      </w:r>
    </w:p>
    <w:p w14:paraId="0C89ACA3" w14:textId="50E40BF9" w:rsidR="00D9114D" w:rsidRPr="00D9114D" w:rsidRDefault="00D9114D" w:rsidP="00D9114D">
      <w:pPr>
        <w:pStyle w:val="ae"/>
        <w:keepNext/>
        <w:jc w:val="center"/>
        <w:rPr>
          <w:b w:val="0"/>
          <w:bCs w:val="0"/>
        </w:rPr>
      </w:pPr>
      <w:bookmarkStart w:id="1" w:name="_Ref64811156"/>
      <w:r w:rsidRPr="00D9114D">
        <w:rPr>
          <w:b w:val="0"/>
          <w:bCs w:val="0"/>
        </w:rPr>
        <w:t xml:space="preserve">表 </w:t>
      </w:r>
      <w:r w:rsidRPr="00D9114D">
        <w:rPr>
          <w:b w:val="0"/>
          <w:bCs w:val="0"/>
        </w:rPr>
        <w:fldChar w:fldCharType="begin"/>
      </w:r>
      <w:r w:rsidRPr="00D9114D">
        <w:rPr>
          <w:b w:val="0"/>
          <w:bCs w:val="0"/>
        </w:rPr>
        <w:instrText xml:space="preserve"> SEQ 表 \* ARABIC </w:instrText>
      </w:r>
      <w:r w:rsidRPr="00D9114D">
        <w:rPr>
          <w:b w:val="0"/>
          <w:bCs w:val="0"/>
        </w:rPr>
        <w:fldChar w:fldCharType="separate"/>
      </w:r>
      <w:r w:rsidR="001B407A">
        <w:rPr>
          <w:b w:val="0"/>
          <w:bCs w:val="0"/>
          <w:noProof/>
        </w:rPr>
        <w:t>1</w:t>
      </w:r>
      <w:r w:rsidRPr="00D9114D">
        <w:rPr>
          <w:b w:val="0"/>
          <w:bCs w:val="0"/>
        </w:rPr>
        <w:fldChar w:fldCharType="end"/>
      </w:r>
      <w:bookmarkEnd w:id="1"/>
      <w:r w:rsidRPr="00D9114D">
        <w:rPr>
          <w:b w:val="0"/>
          <w:bCs w:val="0"/>
        </w:rPr>
        <w:t xml:space="preserve">　</w:t>
      </w:r>
      <w:r w:rsidRPr="00D9114D">
        <w:rPr>
          <w:rFonts w:hint="eastAsia"/>
          <w:b w:val="0"/>
          <w:bCs w:val="0"/>
        </w:rPr>
        <w:t>ESGスコア決定の際に考慮する基準の一例．</w:t>
      </w:r>
    </w:p>
    <w:p w14:paraId="5F0C874A" w14:textId="06F5537A" w:rsidR="0014582B" w:rsidRDefault="0014582B" w:rsidP="0014582B">
      <w:pPr>
        <w:pStyle w:val="a3"/>
        <w:ind w:leftChars="0" w:left="567" w:firstLineChars="100" w:firstLine="210"/>
      </w:pPr>
      <w:r>
        <w:rPr>
          <w:noProof/>
        </w:rPr>
        <w:drawing>
          <wp:inline distT="0" distB="0" distL="0" distR="0" wp14:anchorId="38D0769F" wp14:editId="6EEDA512">
            <wp:extent cx="5168900" cy="1368238"/>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4222" cy="1377588"/>
                    </a:xfrm>
                    <a:prstGeom prst="rect">
                      <a:avLst/>
                    </a:prstGeom>
                    <a:noFill/>
                    <a:ln>
                      <a:noFill/>
                    </a:ln>
                  </pic:spPr>
                </pic:pic>
              </a:graphicData>
            </a:graphic>
          </wp:inline>
        </w:drawing>
      </w:r>
    </w:p>
    <w:p w14:paraId="0C902187" w14:textId="5E7C1B48" w:rsidR="00D9114D" w:rsidRDefault="00D9114D" w:rsidP="0014582B">
      <w:pPr>
        <w:pStyle w:val="a3"/>
        <w:ind w:leftChars="0" w:left="567" w:firstLineChars="100" w:firstLine="210"/>
      </w:pPr>
      <w:r>
        <w:rPr>
          <w:rFonts w:hint="eastAsia"/>
        </w:rPr>
        <w:t>（*特定のセクターに適用される基準）</w:t>
      </w:r>
    </w:p>
    <w:p w14:paraId="5A2F7E02" w14:textId="69EEA294" w:rsidR="00D9114D" w:rsidRDefault="00D9114D" w:rsidP="00D9114D">
      <w:pPr>
        <w:ind w:leftChars="270" w:left="567"/>
      </w:pPr>
    </w:p>
    <w:p w14:paraId="23CF4A49" w14:textId="79E0281C" w:rsidR="00F113F2" w:rsidRPr="00F113F2" w:rsidRDefault="00F113F2" w:rsidP="00F113F2">
      <w:pPr>
        <w:pStyle w:val="ae"/>
        <w:keepNext/>
        <w:jc w:val="center"/>
        <w:rPr>
          <w:b w:val="0"/>
          <w:bCs w:val="0"/>
        </w:rPr>
      </w:pPr>
      <w:bookmarkStart w:id="2" w:name="_Ref65026347"/>
      <w:r w:rsidRPr="00F113F2">
        <w:rPr>
          <w:b w:val="0"/>
          <w:bCs w:val="0"/>
        </w:rPr>
        <w:t xml:space="preserve">表 </w:t>
      </w:r>
      <w:r w:rsidRPr="00F113F2">
        <w:rPr>
          <w:b w:val="0"/>
          <w:bCs w:val="0"/>
        </w:rPr>
        <w:fldChar w:fldCharType="begin"/>
      </w:r>
      <w:r w:rsidRPr="00F113F2">
        <w:rPr>
          <w:b w:val="0"/>
          <w:bCs w:val="0"/>
        </w:rPr>
        <w:instrText xml:space="preserve"> SEQ 表 \* ARABIC </w:instrText>
      </w:r>
      <w:r w:rsidRPr="00F113F2">
        <w:rPr>
          <w:b w:val="0"/>
          <w:bCs w:val="0"/>
        </w:rPr>
        <w:fldChar w:fldCharType="separate"/>
      </w:r>
      <w:r w:rsidR="001B407A">
        <w:rPr>
          <w:b w:val="0"/>
          <w:bCs w:val="0"/>
          <w:noProof/>
        </w:rPr>
        <w:t>2</w:t>
      </w:r>
      <w:r w:rsidRPr="00F113F2">
        <w:rPr>
          <w:b w:val="0"/>
          <w:bCs w:val="0"/>
        </w:rPr>
        <w:fldChar w:fldCharType="end"/>
      </w:r>
      <w:bookmarkEnd w:id="2"/>
      <w:r w:rsidRPr="00F113F2">
        <w:rPr>
          <w:rFonts w:hint="eastAsia"/>
          <w:b w:val="0"/>
          <w:bCs w:val="0"/>
        </w:rPr>
        <w:t xml:space="preserve">　自動車，銀行，鉱業に割り当てられる重み</w:t>
      </w:r>
    </w:p>
    <w:p w14:paraId="02E00978" w14:textId="3C72C01A" w:rsidR="00F113F2" w:rsidRDefault="00F113F2" w:rsidP="00F113F2">
      <w:pPr>
        <w:ind w:leftChars="270" w:left="567"/>
        <w:jc w:val="center"/>
      </w:pPr>
      <w:r>
        <w:rPr>
          <w:rFonts w:hint="eastAsia"/>
          <w:noProof/>
        </w:rPr>
        <w:drawing>
          <wp:inline distT="0" distB="0" distL="0" distR="0" wp14:anchorId="5F72E3D8" wp14:editId="5096A87B">
            <wp:extent cx="5148783" cy="793518"/>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5798" cy="803846"/>
                    </a:xfrm>
                    <a:prstGeom prst="rect">
                      <a:avLst/>
                    </a:prstGeom>
                    <a:noFill/>
                    <a:ln>
                      <a:noFill/>
                    </a:ln>
                  </pic:spPr>
                </pic:pic>
              </a:graphicData>
            </a:graphic>
          </wp:inline>
        </w:drawing>
      </w:r>
    </w:p>
    <w:p w14:paraId="42A821DD" w14:textId="47280575" w:rsidR="00F113F2" w:rsidRDefault="00F113F2" w:rsidP="00F113F2">
      <w:pPr>
        <w:ind w:leftChars="270" w:left="567"/>
      </w:pPr>
    </w:p>
    <w:p w14:paraId="5F84F729" w14:textId="4CBA909E" w:rsidR="00566F30" w:rsidRDefault="00566F30" w:rsidP="00566F30">
      <w:pPr>
        <w:ind w:leftChars="270" w:left="567" w:firstLineChars="100" w:firstLine="210"/>
      </w:pPr>
      <w:r>
        <w:rPr>
          <w:rFonts w:hint="eastAsia"/>
        </w:rPr>
        <w:t>ESGスコアを用いた投資の有用性を検証するため，複数のポートフォリオを作成する．</w:t>
      </w:r>
      <w:r w:rsidR="00A86F42">
        <w:rPr>
          <w:rFonts w:hint="eastAsia"/>
        </w:rPr>
        <w:t>北アメリカとユーロ圏を対象</w:t>
      </w:r>
      <w:r w:rsidR="00A86F42">
        <w:rPr>
          <w:rStyle w:val="a8"/>
        </w:rPr>
        <w:footnoteReference w:id="4"/>
      </w:r>
      <w:r>
        <w:rPr>
          <w:rFonts w:hint="eastAsia"/>
        </w:rPr>
        <w:t>にこの検証を行うため，以下のインデックスを対象に，そのインデックスを構成する銘柄をESGスコアが高い順に並べ，５分位に分割</w:t>
      </w:r>
      <w:r w:rsidR="003F3ED6">
        <w:rPr>
          <w:rFonts w:hint="eastAsia"/>
        </w:rPr>
        <w:t>（スコアが高いほうから第一</w:t>
      </w:r>
      <w:r w:rsidR="00B34A51">
        <w:rPr>
          <w:rFonts w:hint="eastAsia"/>
        </w:rPr>
        <w:t>分位</w:t>
      </w:r>
      <w:r w:rsidR="003F3ED6">
        <w:rPr>
          <w:rFonts w:hint="eastAsia"/>
        </w:rPr>
        <w:t>，第二</w:t>
      </w:r>
      <w:r w:rsidR="00B34A51">
        <w:rPr>
          <w:rFonts w:hint="eastAsia"/>
        </w:rPr>
        <w:t>分位</w:t>
      </w:r>
      <w:r w:rsidR="003F3ED6">
        <w:rPr>
          <w:rFonts w:hint="eastAsia"/>
        </w:rPr>
        <w:t>，．．．，第五</w:t>
      </w:r>
      <w:r w:rsidR="00B34A51">
        <w:rPr>
          <w:rFonts w:hint="eastAsia"/>
        </w:rPr>
        <w:t>分位</w:t>
      </w:r>
      <w:r w:rsidR="003F3ED6">
        <w:rPr>
          <w:rFonts w:hint="eastAsia"/>
        </w:rPr>
        <w:t>とする．）</w:t>
      </w:r>
      <w:r>
        <w:rPr>
          <w:rFonts w:hint="eastAsia"/>
        </w:rPr>
        <w:t>する．加えて，作成された分位ポートフォリオのリターンは構成銘柄のリターンの算術平均として計算する．</w:t>
      </w:r>
    </w:p>
    <w:p w14:paraId="1B13DA09" w14:textId="138DF793" w:rsidR="003F3ED6" w:rsidRDefault="003F3ED6" w:rsidP="003F3ED6">
      <w:pPr>
        <w:pStyle w:val="a3"/>
        <w:numPr>
          <w:ilvl w:val="1"/>
          <w:numId w:val="2"/>
        </w:numPr>
        <w:ind w:leftChars="0"/>
      </w:pPr>
      <w:r>
        <w:rPr>
          <w:rFonts w:hint="eastAsia"/>
        </w:rPr>
        <w:t xml:space="preserve">MSCI </w:t>
      </w:r>
      <w:r>
        <w:t>North America Index</w:t>
      </w:r>
    </w:p>
    <w:p w14:paraId="2397D5BC" w14:textId="784A85AE" w:rsidR="003F3ED6" w:rsidRDefault="003F3ED6" w:rsidP="003F3ED6">
      <w:pPr>
        <w:pStyle w:val="a3"/>
        <w:numPr>
          <w:ilvl w:val="1"/>
          <w:numId w:val="2"/>
        </w:numPr>
        <w:ind w:leftChars="0"/>
      </w:pPr>
      <w:r>
        <w:rPr>
          <w:rFonts w:hint="eastAsia"/>
        </w:rPr>
        <w:t xml:space="preserve">MSCI </w:t>
      </w:r>
      <w:proofErr w:type="spellStart"/>
      <w:r>
        <w:t>EMUIndex</w:t>
      </w:r>
      <w:proofErr w:type="spellEnd"/>
    </w:p>
    <w:p w14:paraId="5272C94F" w14:textId="0D04BE60" w:rsidR="00E42D13" w:rsidRDefault="00FB2439" w:rsidP="00E42D13">
      <w:pPr>
        <w:ind w:left="567" w:firstLineChars="100" w:firstLine="210"/>
      </w:pPr>
      <w:r>
        <w:rPr>
          <w:rFonts w:hint="eastAsia"/>
        </w:rPr>
        <w:t>使用するデータ期間としては，直近のデータを考えるため，2</w:t>
      </w:r>
      <w:r>
        <w:t>010</w:t>
      </w:r>
      <w:r>
        <w:rPr>
          <w:rFonts w:hint="eastAsia"/>
        </w:rPr>
        <w:t>年以降のものを使用する．</w:t>
      </w:r>
      <w:r w:rsidR="00642DDE">
        <w:rPr>
          <w:rFonts w:hint="eastAsia"/>
        </w:rPr>
        <w:t>また，データ期間を2</w:t>
      </w:r>
      <w:r w:rsidR="00642DDE">
        <w:t>010</w:t>
      </w:r>
      <w:r w:rsidR="00642DDE">
        <w:rPr>
          <w:rFonts w:hint="eastAsia"/>
        </w:rPr>
        <w:t>年～2</w:t>
      </w:r>
      <w:r w:rsidR="00642DDE">
        <w:t>013</w:t>
      </w:r>
      <w:r w:rsidR="00642DDE">
        <w:rPr>
          <w:rFonts w:hint="eastAsia"/>
        </w:rPr>
        <w:t>年（以下，第一期間と記載）に限定した場合と，2</w:t>
      </w:r>
      <w:r w:rsidR="00642DDE">
        <w:t>014</w:t>
      </w:r>
      <w:r w:rsidR="00642DDE">
        <w:rPr>
          <w:rFonts w:hint="eastAsia"/>
        </w:rPr>
        <w:t>年～2</w:t>
      </w:r>
      <w:r w:rsidR="00642DDE">
        <w:t>017</w:t>
      </w:r>
      <w:r w:rsidR="00642DDE">
        <w:rPr>
          <w:rFonts w:hint="eastAsia"/>
        </w:rPr>
        <w:t>年（以下，第二期間と記載）に限定した場合で結果が大き</w:t>
      </w:r>
      <w:r w:rsidR="00642DDE">
        <w:rPr>
          <w:rFonts w:hint="eastAsia"/>
        </w:rPr>
        <w:lastRenderedPageBreak/>
        <w:t>く異なるため，この二期間を対象に分析を実施する．基本的には第一期間での結果はESGスコアを用いたポートフォリオは</w:t>
      </w:r>
      <w:r w:rsidR="00E42D13">
        <w:rPr>
          <w:rFonts w:hint="eastAsia"/>
        </w:rPr>
        <w:t>どちらかと言えば有効ではないと示唆される結果が得られる．一方で，第二期間は有効であると示唆される結果が得られる．</w:t>
      </w:r>
    </w:p>
    <w:p w14:paraId="0A08184F" w14:textId="77777777" w:rsidR="00A86F42" w:rsidRPr="00566F30" w:rsidRDefault="00A86F42" w:rsidP="00E42D13">
      <w:pPr>
        <w:ind w:left="567" w:firstLineChars="100" w:firstLine="210"/>
      </w:pPr>
    </w:p>
    <w:p w14:paraId="2D1D82E0" w14:textId="0F5FA910" w:rsidR="00F113F2" w:rsidRDefault="00AA44C0" w:rsidP="00F113F2">
      <w:pPr>
        <w:pStyle w:val="a3"/>
        <w:numPr>
          <w:ilvl w:val="1"/>
          <w:numId w:val="4"/>
        </w:numPr>
        <w:ind w:leftChars="0"/>
      </w:pPr>
      <w:bookmarkStart w:id="3" w:name="_Ref65006981"/>
      <w:r>
        <w:rPr>
          <w:rFonts w:hint="eastAsia"/>
        </w:rPr>
        <w:t>分析方法</w:t>
      </w:r>
      <w:bookmarkEnd w:id="3"/>
    </w:p>
    <w:p w14:paraId="63E5748C" w14:textId="1A631E8F" w:rsidR="004953BA" w:rsidRDefault="004953BA" w:rsidP="004953BA">
      <w:pPr>
        <w:pStyle w:val="a3"/>
        <w:ind w:leftChars="0" w:left="567" w:firstLineChars="100" w:firstLine="210"/>
      </w:pPr>
      <w:r>
        <w:rPr>
          <w:rFonts w:hint="eastAsia"/>
        </w:rPr>
        <w:t>E</w:t>
      </w:r>
      <w:r>
        <w:t>SG</w:t>
      </w:r>
      <w:r>
        <w:rPr>
          <w:rFonts w:hint="eastAsia"/>
        </w:rPr>
        <w:t>スコアが新たなリスクファクターと見なされるか評価するため，次の3つの方法で分析をする．</w:t>
      </w:r>
    </w:p>
    <w:p w14:paraId="580431F4" w14:textId="33FD4677" w:rsidR="004953BA" w:rsidRDefault="004953BA" w:rsidP="004953BA">
      <w:pPr>
        <w:pStyle w:val="a3"/>
        <w:ind w:leftChars="0" w:left="567" w:firstLineChars="100" w:firstLine="210"/>
      </w:pPr>
    </w:p>
    <w:p w14:paraId="1685217E" w14:textId="31115769" w:rsidR="004953BA" w:rsidRDefault="00461EC2" w:rsidP="003852B2">
      <w:pPr>
        <w:pStyle w:val="a3"/>
        <w:numPr>
          <w:ilvl w:val="2"/>
          <w:numId w:val="2"/>
        </w:numPr>
        <w:ind w:leftChars="0" w:left="993"/>
      </w:pPr>
      <w:r>
        <w:rPr>
          <w:rFonts w:hint="eastAsia"/>
        </w:rPr>
        <w:t>単一及び</w:t>
      </w:r>
      <w:r w:rsidR="000B20C5">
        <w:rPr>
          <w:rFonts w:hint="eastAsia"/>
        </w:rPr>
        <w:t>複数ファクターによる</w:t>
      </w:r>
      <w:r w:rsidR="004953BA">
        <w:rPr>
          <w:rFonts w:hint="eastAsia"/>
        </w:rPr>
        <w:t>分析</w:t>
      </w:r>
    </w:p>
    <w:p w14:paraId="35442E50" w14:textId="10B48DAB" w:rsidR="00183417" w:rsidRDefault="003852B2" w:rsidP="00183417">
      <w:pPr>
        <w:pStyle w:val="a3"/>
        <w:ind w:leftChars="0" w:left="992" w:firstLineChars="100" w:firstLine="210"/>
      </w:pPr>
      <w:r>
        <w:rPr>
          <w:rFonts w:hint="eastAsia"/>
        </w:rPr>
        <w:t>個別銘柄の週次リターンを被説明変数，各リスクファクターを単一の説明変数とした単回帰分析を実施した後，決定係数を計算する．</w:t>
      </w:r>
      <w:r w:rsidR="00183417">
        <w:rPr>
          <w:rFonts w:hint="eastAsia"/>
        </w:rPr>
        <w:t>各リスクファクターについて</w:t>
      </w:r>
      <w:r>
        <w:rPr>
          <w:rFonts w:hint="eastAsia"/>
        </w:rPr>
        <w:t>算出された決定係数の平均を計算し，</w:t>
      </w:r>
      <w:r w:rsidR="00183417">
        <w:rPr>
          <w:rFonts w:hint="eastAsia"/>
        </w:rPr>
        <w:t>他のリスクファクターで計算した場合と比較する．なお，ここで使用するリスクファクターは，サイズ，バリュー，モーメンタム，低ボラティリティー，クオリティ，ESGスコア，Eスコア，Sスコア，Gスコアの</w:t>
      </w:r>
      <w:r w:rsidR="00183417">
        <w:t>9</w:t>
      </w:r>
      <w:r w:rsidR="00183417">
        <w:rPr>
          <w:rFonts w:hint="eastAsia"/>
        </w:rPr>
        <w:t>種類のファクターである．</w:t>
      </w:r>
    </w:p>
    <w:p w14:paraId="79AB8720" w14:textId="23A80EE1" w:rsidR="00183417" w:rsidRDefault="00183417" w:rsidP="00183417">
      <w:pPr>
        <w:pStyle w:val="a3"/>
        <w:ind w:leftChars="0" w:left="992" w:firstLineChars="100" w:firstLine="210"/>
      </w:pPr>
      <w:r>
        <w:rPr>
          <w:rFonts w:hint="eastAsia"/>
        </w:rPr>
        <w:t>また，CAPMを仮定した場合の決定係数と以下の４つのファクターモデルを仮定した場合の決定係数を比較する．</w:t>
      </w:r>
    </w:p>
    <w:p w14:paraId="014F9E71" w14:textId="121E6C1F" w:rsidR="00183417" w:rsidRDefault="00183417" w:rsidP="00F03C0F">
      <w:pPr>
        <w:pStyle w:val="a3"/>
        <w:numPr>
          <w:ilvl w:val="0"/>
          <w:numId w:val="10"/>
        </w:numPr>
        <w:ind w:leftChars="0" w:left="1418"/>
      </w:pPr>
      <w:r>
        <w:rPr>
          <w:rFonts w:hint="eastAsia"/>
        </w:rPr>
        <w:t>5ファクターモデル（以下，5</w:t>
      </w:r>
      <w:r>
        <w:t>F</w:t>
      </w:r>
      <w:r w:rsidR="004277E0">
        <w:rPr>
          <w:rFonts w:hint="eastAsia"/>
        </w:rPr>
        <w:t>モデル</w:t>
      </w:r>
      <w:r>
        <w:rPr>
          <w:rFonts w:hint="eastAsia"/>
        </w:rPr>
        <w:t>と記載）</w:t>
      </w:r>
    </w:p>
    <w:p w14:paraId="5BD340DF" w14:textId="40445074" w:rsidR="00183417" w:rsidRDefault="00183417" w:rsidP="00F03C0F">
      <w:pPr>
        <w:pStyle w:val="a3"/>
        <w:ind w:leftChars="0" w:left="1701"/>
      </w:pPr>
      <w:r>
        <w:rPr>
          <w:rFonts w:hint="eastAsia"/>
        </w:rPr>
        <w:t>サイズ，バリュー，モメンタム，低ボラティリティ，クオリティをリスクファクターとしたモデル．</w:t>
      </w:r>
    </w:p>
    <w:p w14:paraId="17CF4397" w14:textId="671353B9" w:rsidR="00183417" w:rsidRDefault="00183417" w:rsidP="00F03C0F">
      <w:pPr>
        <w:pStyle w:val="a3"/>
        <w:numPr>
          <w:ilvl w:val="0"/>
          <w:numId w:val="10"/>
        </w:numPr>
        <w:ind w:leftChars="0" w:left="1418"/>
      </w:pPr>
      <w:r>
        <w:rPr>
          <w:rFonts w:hint="eastAsia"/>
        </w:rPr>
        <w:t>6ファクターモデル</w:t>
      </w:r>
      <w:r w:rsidR="004277E0">
        <w:rPr>
          <w:rFonts w:hint="eastAsia"/>
        </w:rPr>
        <w:t>（以下，６Fモデルと記載）</w:t>
      </w:r>
    </w:p>
    <w:p w14:paraId="30CDDA9F" w14:textId="35D07257" w:rsidR="00F03C0F" w:rsidRDefault="00183417" w:rsidP="00F03C0F">
      <w:pPr>
        <w:pStyle w:val="a3"/>
        <w:ind w:leftChars="0" w:left="1701"/>
      </w:pPr>
      <w:r>
        <w:t>5F</w:t>
      </w:r>
      <w:r w:rsidR="004277E0">
        <w:rPr>
          <w:rFonts w:hint="eastAsia"/>
        </w:rPr>
        <w:t>モデル</w:t>
      </w:r>
      <w:r>
        <w:rPr>
          <w:rFonts w:hint="eastAsia"/>
        </w:rPr>
        <w:t>のリスクファクターと</w:t>
      </w:r>
      <w:r w:rsidR="00F03C0F">
        <w:rPr>
          <w:rFonts w:hint="eastAsia"/>
        </w:rPr>
        <w:t>ESGスコアをリスクファクターとしたモデル．</w:t>
      </w:r>
    </w:p>
    <w:p w14:paraId="74A141B4" w14:textId="68810800" w:rsidR="00F03C0F" w:rsidRDefault="00F03C0F" w:rsidP="00F03C0F">
      <w:pPr>
        <w:pStyle w:val="a3"/>
        <w:numPr>
          <w:ilvl w:val="0"/>
          <w:numId w:val="10"/>
        </w:numPr>
        <w:ind w:leftChars="0" w:left="1418"/>
      </w:pPr>
      <w:r>
        <w:rPr>
          <w:rFonts w:hint="eastAsia"/>
        </w:rPr>
        <w:t>8ファクターモデル</w:t>
      </w:r>
      <w:r w:rsidR="004277E0">
        <w:rPr>
          <w:rFonts w:hint="eastAsia"/>
        </w:rPr>
        <w:t>（以下8</w:t>
      </w:r>
      <w:r w:rsidR="004277E0">
        <w:t>F</w:t>
      </w:r>
      <w:r w:rsidR="004277E0">
        <w:rPr>
          <w:rFonts w:hint="eastAsia"/>
        </w:rPr>
        <w:t>モデルと記載）</w:t>
      </w:r>
    </w:p>
    <w:p w14:paraId="26A90BD6" w14:textId="469DCE1E" w:rsidR="00F03C0F" w:rsidRDefault="00F03C0F" w:rsidP="00F03C0F">
      <w:pPr>
        <w:pStyle w:val="a3"/>
        <w:ind w:leftChars="0" w:left="1701"/>
      </w:pPr>
      <w:r>
        <w:t>5F</w:t>
      </w:r>
      <w:r w:rsidR="004277E0">
        <w:rPr>
          <w:rFonts w:hint="eastAsia"/>
        </w:rPr>
        <w:t>モデル</w:t>
      </w:r>
      <w:r>
        <w:rPr>
          <w:rFonts w:hint="eastAsia"/>
        </w:rPr>
        <w:t>のリスクファクターとESGスコア，Eスコア，Sスコア，Gスコア</w:t>
      </w:r>
      <w:r w:rsidR="00952339">
        <w:rPr>
          <w:rFonts w:hint="eastAsia"/>
        </w:rPr>
        <w:t>（以下では，これら4つのファクターをESG関連ファクターと呼ぶ）</w:t>
      </w:r>
      <w:r>
        <w:rPr>
          <w:rFonts w:hint="eastAsia"/>
        </w:rPr>
        <w:t>の合計9つをリスクファクターとしたモデル．</w:t>
      </w:r>
    </w:p>
    <w:p w14:paraId="048550A5" w14:textId="3CC7BE53" w:rsidR="00F03C0F" w:rsidRDefault="00F03C0F" w:rsidP="00F03C0F">
      <w:pPr>
        <w:pStyle w:val="a3"/>
        <w:numPr>
          <w:ilvl w:val="0"/>
          <w:numId w:val="10"/>
        </w:numPr>
        <w:ind w:leftChars="0" w:left="1418"/>
      </w:pPr>
      <w:r>
        <w:rPr>
          <w:rFonts w:hint="eastAsia"/>
        </w:rPr>
        <w:t>3ファクターモデル</w:t>
      </w:r>
      <w:r w:rsidR="004277E0">
        <w:rPr>
          <w:rFonts w:hint="eastAsia"/>
        </w:rPr>
        <w:t>（以下3Fモデルと記載）</w:t>
      </w:r>
    </w:p>
    <w:p w14:paraId="67C7E86E" w14:textId="0A604E0A" w:rsidR="00F03C0F" w:rsidRDefault="00F03C0F" w:rsidP="00F03C0F">
      <w:pPr>
        <w:pStyle w:val="a3"/>
        <w:ind w:leftChars="0" w:left="1701"/>
      </w:pPr>
      <w:r>
        <w:rPr>
          <w:rFonts w:hint="eastAsia"/>
        </w:rPr>
        <w:t>Eスコア，Sスコア，Gスコアをリスクファクターとしたモデル．</w:t>
      </w:r>
    </w:p>
    <w:p w14:paraId="22CCB710" w14:textId="77777777" w:rsidR="00F03C0F" w:rsidRDefault="00F03C0F" w:rsidP="00F03C0F">
      <w:pPr>
        <w:pStyle w:val="a3"/>
        <w:ind w:leftChars="0" w:left="1418" w:firstLineChars="100" w:firstLine="210"/>
      </w:pPr>
    </w:p>
    <w:p w14:paraId="75673B61" w14:textId="2B9E9BD8" w:rsidR="004953BA" w:rsidRDefault="004953BA" w:rsidP="003852B2">
      <w:pPr>
        <w:pStyle w:val="a3"/>
        <w:numPr>
          <w:ilvl w:val="2"/>
          <w:numId w:val="2"/>
        </w:numPr>
        <w:ind w:leftChars="0" w:left="993"/>
      </w:pPr>
      <w:r>
        <w:rPr>
          <w:rFonts w:hint="eastAsia"/>
        </w:rPr>
        <w:t>ラッソ回帰による分析</w:t>
      </w:r>
    </w:p>
    <w:p w14:paraId="7ECD6882" w14:textId="709AEB45" w:rsidR="00F03C0F" w:rsidRDefault="00F03C0F" w:rsidP="00F03C0F">
      <w:pPr>
        <w:pStyle w:val="a3"/>
        <w:ind w:leftChars="0" w:left="992" w:firstLineChars="100" w:firstLine="210"/>
      </w:pPr>
      <w:r>
        <w:rPr>
          <w:rFonts w:hint="eastAsia"/>
        </w:rPr>
        <w:t>重要となるリスクファクターを特定するため，</w:t>
      </w:r>
      <w:r w:rsidR="004B143D">
        <w:rPr>
          <w:rFonts w:hint="eastAsia"/>
        </w:rPr>
        <w:t>以下のモデルで</w:t>
      </w:r>
      <w:r>
        <w:rPr>
          <w:rFonts w:hint="eastAsia"/>
        </w:rPr>
        <w:t>ラッソ回帰を実施する．</w:t>
      </w:r>
    </w:p>
    <w:tbl>
      <w:tblPr>
        <w:tblStyle w:val="a5"/>
        <w:tblW w:w="7512" w:type="dxa"/>
        <w:tblInd w:w="988" w:type="dxa"/>
        <w:tblLook w:val="04A0" w:firstRow="1" w:lastRow="0" w:firstColumn="1" w:lastColumn="0" w:noHBand="0" w:noVBand="1"/>
      </w:tblPr>
      <w:tblGrid>
        <w:gridCol w:w="6804"/>
        <w:gridCol w:w="708"/>
      </w:tblGrid>
      <w:tr w:rsidR="004B143D" w14:paraId="741A9950" w14:textId="77777777" w:rsidTr="004B143D">
        <w:tc>
          <w:tcPr>
            <w:tcW w:w="680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BA9110B" w14:textId="77777777" w:rsidR="004B143D" w:rsidRPr="004B143D" w:rsidRDefault="000A5365" w:rsidP="004B143D">
            <w:pPr>
              <w:pStyle w:val="a3"/>
              <w:ind w:leftChars="44" w:left="92"/>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j=1</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F</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j=1</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e>
                    </m:d>
                  </m:e>
                </m:nary>
                <m:r>
                  <w:rPr>
                    <w:rFonts w:ascii="Cambria Math" w:hAnsi="Cambria Math"/>
                  </w:rPr>
                  <m:t>≤τ</m:t>
                </m:r>
              </m:oMath>
            </m:oMathPara>
          </w:p>
          <w:p w14:paraId="385619D9" w14:textId="77777777" w:rsidR="004B143D" w:rsidRDefault="000A5365" w:rsidP="004B143D">
            <w:pPr>
              <w:pStyle w:val="a3"/>
              <w:ind w:leftChars="44" w:left="92"/>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B143D">
              <w:tab/>
            </w:r>
            <w:r w:rsidR="004B143D">
              <w:rPr>
                <w:rFonts w:hint="eastAsia"/>
              </w:rPr>
              <w:t>：銘柄</w:t>
            </w:r>
            <m:oMath>
              <m:r>
                <w:rPr>
                  <w:rFonts w:ascii="Cambria Math" w:hAnsi="Cambria Math"/>
                </w:rPr>
                <m:t>i</m:t>
              </m:r>
            </m:oMath>
            <w:r w:rsidR="004B143D">
              <w:rPr>
                <w:rFonts w:hint="eastAsia"/>
              </w:rPr>
              <w:t>の週次リターン</w:t>
            </w:r>
          </w:p>
          <w:p w14:paraId="5876FFEB" w14:textId="77777777" w:rsidR="004B143D" w:rsidRDefault="000A5365" w:rsidP="004B143D">
            <w:pPr>
              <w:pStyle w:val="a3"/>
              <w:ind w:leftChars="44" w:left="92"/>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oMath>
            <w:r w:rsidR="004B143D">
              <w:tab/>
            </w:r>
            <w:r w:rsidR="004B143D">
              <w:rPr>
                <w:rFonts w:hint="eastAsia"/>
              </w:rPr>
              <w:t>：銘柄</w:t>
            </w:r>
            <m:oMath>
              <m:r>
                <w:rPr>
                  <w:rFonts w:ascii="Cambria Math" w:hAnsi="Cambria Math"/>
                </w:rPr>
                <m:t>i</m:t>
              </m:r>
            </m:oMath>
            <w:r w:rsidR="004B143D">
              <w:rPr>
                <w:rFonts w:hint="eastAsia"/>
              </w:rPr>
              <w:t>のファクター</w:t>
            </w:r>
            <m:oMath>
              <m:r>
                <w:rPr>
                  <w:rFonts w:ascii="Cambria Math" w:hAnsi="Cambria Math"/>
                </w:rPr>
                <m:t>j</m:t>
              </m:r>
            </m:oMath>
            <w:r w:rsidR="004B143D">
              <w:rPr>
                <w:rFonts w:hint="eastAsia"/>
              </w:rPr>
              <w:t>に関するエクスポージャ</w:t>
            </w:r>
          </w:p>
          <w:p w14:paraId="49939E94" w14:textId="77777777" w:rsidR="004B143D" w:rsidRDefault="000A5365" w:rsidP="004B143D">
            <w:pPr>
              <w:pStyle w:val="a3"/>
              <w:ind w:leftChars="44" w:left="92"/>
            </w:pP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B143D">
              <w:tab/>
            </w:r>
            <w:r w:rsidR="004B143D">
              <w:rPr>
                <w:rFonts w:hint="eastAsia"/>
              </w:rPr>
              <w:t>：ファクター</w:t>
            </w:r>
          </w:p>
          <w:p w14:paraId="77B91B30" w14:textId="77777777" w:rsidR="004B143D" w:rsidRDefault="000A5365" w:rsidP="004B143D">
            <w:pPr>
              <w:pStyle w:val="a3"/>
              <w:ind w:leftChars="44" w:left="92"/>
            </w:pP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4B143D">
              <w:tab/>
            </w:r>
            <w:r w:rsidR="004B143D">
              <w:rPr>
                <w:rFonts w:hint="eastAsia"/>
              </w:rPr>
              <w:t>：誤差項</w:t>
            </w:r>
          </w:p>
          <w:p w14:paraId="32B92A22" w14:textId="0CDEC036" w:rsidR="009B6D9E" w:rsidRPr="009B6D9E" w:rsidRDefault="009B6D9E" w:rsidP="009B6D9E">
            <w:pPr>
              <w:pStyle w:val="a3"/>
              <w:ind w:leftChars="44" w:left="92"/>
            </w:pPr>
            <m:oMath>
              <m:r>
                <w:rPr>
                  <w:rFonts w:ascii="Cambria Math" w:hAnsi="Cambria Math"/>
                </w:rPr>
                <m:t>τ</m:t>
              </m:r>
            </m:oMath>
            <w:r>
              <w:tab/>
            </w:r>
            <w:r>
              <w:rPr>
                <w:rFonts w:hint="eastAsia"/>
              </w:rPr>
              <w:t>：正則化パラメータ</w:t>
            </w:r>
            <w:r>
              <w:t xml:space="preserve"> </w:t>
            </w:r>
          </w:p>
        </w:tc>
        <w:tc>
          <w:tcPr>
            <w:tcW w:w="70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04921ACB" w14:textId="77777777" w:rsidR="004B143D" w:rsidRDefault="004B143D" w:rsidP="004B143D">
            <w:pPr>
              <w:pStyle w:val="a3"/>
              <w:ind w:leftChars="0" w:left="0"/>
            </w:pPr>
          </w:p>
        </w:tc>
      </w:tr>
    </w:tbl>
    <w:p w14:paraId="2E1E72D3" w14:textId="04BE5260" w:rsidR="005D0B3A" w:rsidRDefault="009B6D9E" w:rsidP="005D0B3A">
      <w:pPr>
        <w:pStyle w:val="a3"/>
        <w:ind w:leftChars="0" w:left="992" w:firstLine="1"/>
      </w:pPr>
      <m:oMath>
        <m:r>
          <w:rPr>
            <w:rFonts w:ascii="Cambria Math" w:hAnsi="Cambria Math"/>
          </w:rPr>
          <m:t>τ</m:t>
        </m:r>
      </m:oMath>
      <w:r>
        <w:rPr>
          <w:rFonts w:hint="eastAsia"/>
        </w:rPr>
        <w:t>の大小によって</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oMath>
      <w:r>
        <w:rPr>
          <w:rFonts w:hint="eastAsia"/>
        </w:rPr>
        <w:t>に対する制約の強さを制御できる．</w:t>
      </w:r>
      <w:r w:rsidR="005D0B3A">
        <w:rPr>
          <w:rFonts w:hint="eastAsia"/>
        </w:rPr>
        <w:t>このパラメータとして想定している範囲の最大値を</w:t>
      </w:r>
      <m:oMath>
        <m:r>
          <m:rPr>
            <m:sty m:val="p"/>
          </m:rPr>
          <w:rPr>
            <w:rFonts w:ascii="Cambria Math" w:hAnsi="Cambria Math"/>
          </w:rPr>
          <m:t>max⁡</m:t>
        </m:r>
        <m:r>
          <w:rPr>
            <w:rFonts w:ascii="Cambria Math" w:hAnsi="Cambria Math"/>
          </w:rPr>
          <m:t>(τ)</m:t>
        </m:r>
      </m:oMath>
      <w:r w:rsidR="005D0B3A">
        <w:rPr>
          <w:rFonts w:hint="eastAsia"/>
        </w:rPr>
        <w:t>と記載し，説明の都合上</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5D0B3A">
        <w:rPr>
          <w:rFonts w:hint="eastAsia"/>
        </w:rPr>
        <w:t>を以下の式で定義する．</w:t>
      </w:r>
    </w:p>
    <w:tbl>
      <w:tblPr>
        <w:tblStyle w:val="a5"/>
        <w:tblW w:w="7512" w:type="dxa"/>
        <w:tblInd w:w="988" w:type="dxa"/>
        <w:tblLook w:val="04A0" w:firstRow="1" w:lastRow="0" w:firstColumn="1" w:lastColumn="0" w:noHBand="0" w:noVBand="1"/>
      </w:tblPr>
      <w:tblGrid>
        <w:gridCol w:w="6804"/>
        <w:gridCol w:w="708"/>
      </w:tblGrid>
      <w:tr w:rsidR="00B632AD" w14:paraId="5E42B1AB" w14:textId="77777777" w:rsidTr="00CB53B1">
        <w:tc>
          <w:tcPr>
            <w:tcW w:w="680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6F6D7798" w14:textId="5CF2D121" w:rsidR="00B632AD" w:rsidRPr="009B6D9E" w:rsidRDefault="000A5365" w:rsidP="00B632AD">
            <w:pPr>
              <w:pStyle w:val="a3"/>
              <w:ind w:leftChars="44" w:left="92"/>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τ</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τ</m:t>
                            </m:r>
                          </m:e>
                        </m:d>
                      </m:e>
                    </m:func>
                  </m:den>
                </m:f>
              </m:oMath>
            </m:oMathPara>
          </w:p>
        </w:tc>
        <w:tc>
          <w:tcPr>
            <w:tcW w:w="708"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tcPr>
          <w:p w14:paraId="559207D1" w14:textId="77777777" w:rsidR="00B632AD" w:rsidRDefault="00B632AD" w:rsidP="00CB53B1">
            <w:pPr>
              <w:pStyle w:val="a3"/>
              <w:ind w:leftChars="0" w:left="0"/>
            </w:pPr>
          </w:p>
        </w:tc>
      </w:tr>
    </w:tbl>
    <w:p w14:paraId="7B8FD74B" w14:textId="5D4292C6" w:rsidR="00D0044D" w:rsidRDefault="00B632AD" w:rsidP="00D0044D">
      <w:pPr>
        <w:pStyle w:val="a3"/>
        <w:ind w:leftChars="0" w:left="992" w:firstLine="1"/>
      </w:pPr>
      <w:r>
        <w:rPr>
          <w:rFonts w:hint="eastAsia"/>
        </w:rPr>
        <w:t>定義上，</w:t>
      </w:r>
      <m:oMath>
        <m:r>
          <w:rPr>
            <w:rFonts w:ascii="Cambria Math" w:hAnsi="Cambria Math"/>
          </w:rPr>
          <m:t>0≤</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≤1</m:t>
        </m:r>
      </m:oMath>
      <w:r>
        <w:rPr>
          <w:rFonts w:hint="eastAsia"/>
        </w:rPr>
        <w:t>であるが，</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=0</m:t>
        </m:r>
      </m:oMath>
      <w:r>
        <w:rPr>
          <w:rFonts w:hint="eastAsia"/>
        </w:rPr>
        <w:t>とした場合は任意の</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oMath>
      <w:r>
        <w:rPr>
          <w:rFonts w:hint="eastAsia"/>
        </w:rPr>
        <w:t>が0となる．</w:t>
      </w:r>
      <w:r w:rsidR="00683ED5">
        <w:rPr>
          <w:rFonts w:hint="eastAsia"/>
        </w:rPr>
        <w:t>一方，</w:t>
      </w:r>
      <m:oMath>
        <m:r>
          <m:rPr>
            <m:sty m:val="p"/>
          </m:rPr>
          <w:rPr>
            <w:rFonts w:ascii="Cambria Math" w:hAnsi="Cambria Math"/>
          </w:rPr>
          <m:t>max⁡</m:t>
        </m:r>
        <m:r>
          <w:rPr>
            <w:rFonts w:ascii="Cambria Math" w:hAnsi="Cambria Math"/>
          </w:rPr>
          <m:t>(τ)</m:t>
        </m:r>
      </m:oMath>
      <w:r w:rsidR="00683ED5">
        <w:rPr>
          <w:rFonts w:hint="eastAsia"/>
        </w:rPr>
        <w:t>が十分大きいとすれば，</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=1</m:t>
        </m:r>
      </m:oMath>
      <w:r w:rsidR="00683ED5">
        <w:rPr>
          <w:rFonts w:hint="eastAsia"/>
        </w:rPr>
        <w:t>で推定した場合は，</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oMath>
      <w:r w:rsidR="00683ED5">
        <w:rPr>
          <w:rFonts w:hint="eastAsia"/>
        </w:rPr>
        <w:t>に制約を課さない場合の回帰と同じ結果を得る．</w:t>
      </w:r>
      <w:r>
        <w:rPr>
          <w:rFonts w:hint="eastAsia"/>
        </w:rPr>
        <w:t>この範囲の各</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Pr>
          <w:rFonts w:hint="eastAsia"/>
        </w:rPr>
        <w:t>に対し</w:t>
      </w:r>
      <w:r w:rsidR="00683ED5">
        <w:rPr>
          <w:rFonts w:hint="eastAsia"/>
        </w:rPr>
        <w:t>て</w:t>
      </w:r>
      <w:r>
        <w:rPr>
          <w:rFonts w:hint="eastAsia"/>
        </w:rPr>
        <w:t>ラッソ回帰を実施し</w:t>
      </w:r>
      <w:r w:rsidR="00683ED5">
        <w:rPr>
          <w:rFonts w:hint="eastAsia"/>
        </w:rPr>
        <w:t>，</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j</m:t>
            </m:r>
          </m:sup>
        </m:sSubSup>
      </m:oMath>
      <w:r>
        <w:rPr>
          <w:rFonts w:hint="eastAsia"/>
        </w:rPr>
        <w:t>を推定する．一例として</w:t>
      </w:r>
      <w:r w:rsidRPr="00D0044D">
        <w:rPr>
          <w:rFonts w:hint="eastAsia"/>
        </w:rPr>
        <w:t>，</w:t>
      </w:r>
      <w:r w:rsidR="00D0044D" w:rsidRPr="00D0044D">
        <w:fldChar w:fldCharType="begin"/>
      </w:r>
      <w:r w:rsidR="00D0044D" w:rsidRPr="00D0044D">
        <w:instrText xml:space="preserve"> </w:instrText>
      </w:r>
      <w:r w:rsidR="00D0044D" w:rsidRPr="00D0044D">
        <w:rPr>
          <w:rFonts w:hint="eastAsia"/>
        </w:rPr>
        <w:instrText>REF _Ref64829826 \h</w:instrText>
      </w:r>
      <w:r w:rsidR="00D0044D" w:rsidRPr="00D0044D">
        <w:instrText xml:space="preserve">  \* MERGEFORMAT </w:instrText>
      </w:r>
      <w:r w:rsidR="00D0044D" w:rsidRPr="00D0044D">
        <w:fldChar w:fldCharType="separate"/>
      </w:r>
      <w:r w:rsidR="001B407A" w:rsidRPr="00D0044D">
        <w:t xml:space="preserve">図 </w:t>
      </w:r>
      <w:r w:rsidR="001B407A" w:rsidRPr="001B407A">
        <w:rPr>
          <w:noProof/>
        </w:rPr>
        <w:t>1</w:t>
      </w:r>
      <w:r w:rsidR="00D0044D" w:rsidRPr="00D0044D">
        <w:fldChar w:fldCharType="end"/>
      </w:r>
      <w:r w:rsidRPr="00D0044D">
        <w:rPr>
          <w:rFonts w:hint="eastAsia"/>
        </w:rPr>
        <w:t>のよ</w:t>
      </w:r>
      <w:r>
        <w:rPr>
          <w:rFonts w:hint="eastAsia"/>
        </w:rPr>
        <w:t>うな結果が得られたとする．</w:t>
      </w:r>
      <w:r w:rsidR="00D0044D">
        <w:rPr>
          <w:rFonts w:hint="eastAsia"/>
        </w:rPr>
        <w:t>この時，</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D0044D">
        <w:rPr>
          <w:rFonts w:hint="eastAsia"/>
        </w:rPr>
        <w:t>を0</w:t>
      </w:r>
    </w:p>
    <w:p w14:paraId="63CA63E0" w14:textId="5FC58ACC" w:rsidR="000369B3" w:rsidRPr="000369B3" w:rsidRDefault="00D0044D" w:rsidP="000369B3">
      <w:pPr>
        <w:pStyle w:val="a3"/>
        <w:ind w:leftChars="0" w:left="992" w:firstLine="1"/>
        <w:rPr>
          <w:i/>
        </w:rPr>
      </w:pPr>
      <w:r>
        <w:rPr>
          <w:rFonts w:hint="eastAsia"/>
        </w:rPr>
        <w:t>から大きくして</w:t>
      </w:r>
      <w:r w:rsidR="000369B3">
        <w:rPr>
          <w:rFonts w:hint="eastAsia"/>
        </w:rPr>
        <w:t>ゆくとまず初めにファクター</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0369B3">
        <w:rPr>
          <w:rFonts w:hint="eastAsia"/>
        </w:rPr>
        <w:t>のエクスポージャが0でない値となる，続いて，</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 xml:space="preserve"> </m:t>
        </m:r>
      </m:oMath>
      <w:r w:rsidR="000369B3">
        <w:rPr>
          <w:rFonts w:hint="eastAsia"/>
        </w:rPr>
        <w:t>の順に0でない値となる．これは株式のパフォーマンスを説明するファクターとして</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0369B3">
        <w:rPr>
          <w:rFonts w:hint="eastAsia"/>
        </w:rPr>
        <w:t>が一番重要であり，その後</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m:t>
            </m:r>
          </m:sub>
        </m:sSub>
      </m:oMath>
      <w:r w:rsidR="000369B3">
        <w:rPr>
          <w:rFonts w:hint="eastAsia"/>
        </w:rPr>
        <w:t>の順で重要度が低下していくものと解釈できる．</w:t>
      </w:r>
    </w:p>
    <w:p w14:paraId="44CFD646" w14:textId="77777777" w:rsidR="00D0044D" w:rsidRDefault="00D0044D" w:rsidP="004F01C3">
      <w:pPr>
        <w:pStyle w:val="a3"/>
        <w:keepNext/>
        <w:ind w:leftChars="0" w:left="992" w:firstLine="1"/>
        <w:jc w:val="center"/>
      </w:pPr>
      <w:r>
        <w:rPr>
          <w:noProof/>
        </w:rPr>
        <w:drawing>
          <wp:inline distT="0" distB="0" distL="0" distR="0" wp14:anchorId="7ED1A70D" wp14:editId="2C938171">
            <wp:extent cx="3844122" cy="2306472"/>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91" cy="2326013"/>
                    </a:xfrm>
                    <a:prstGeom prst="rect">
                      <a:avLst/>
                    </a:prstGeom>
                    <a:noFill/>
                    <a:ln>
                      <a:noFill/>
                    </a:ln>
                  </pic:spPr>
                </pic:pic>
              </a:graphicData>
            </a:graphic>
          </wp:inline>
        </w:drawing>
      </w:r>
    </w:p>
    <w:p w14:paraId="164C0EFD" w14:textId="49E0F31C" w:rsidR="00B632AD" w:rsidRPr="00D0044D" w:rsidRDefault="00D0044D" w:rsidP="00D0044D">
      <w:pPr>
        <w:pStyle w:val="ae"/>
        <w:jc w:val="center"/>
        <w:rPr>
          <w:b w:val="0"/>
          <w:bCs w:val="0"/>
        </w:rPr>
      </w:pPr>
      <w:bookmarkStart w:id="4" w:name="_Ref64829826"/>
      <w:bookmarkStart w:id="5" w:name="_Ref64850629"/>
      <w:r w:rsidRPr="00D0044D">
        <w:rPr>
          <w:b w:val="0"/>
          <w:bCs w:val="0"/>
        </w:rPr>
        <w:t xml:space="preserve">図 </w:t>
      </w:r>
      <w:r w:rsidRPr="00D0044D">
        <w:rPr>
          <w:b w:val="0"/>
          <w:bCs w:val="0"/>
        </w:rPr>
        <w:fldChar w:fldCharType="begin"/>
      </w:r>
      <w:r w:rsidRPr="00D0044D">
        <w:rPr>
          <w:b w:val="0"/>
          <w:bCs w:val="0"/>
        </w:rPr>
        <w:instrText xml:space="preserve"> SEQ 図 \* ARABIC </w:instrText>
      </w:r>
      <w:r w:rsidRPr="00D0044D">
        <w:rPr>
          <w:b w:val="0"/>
          <w:bCs w:val="0"/>
        </w:rPr>
        <w:fldChar w:fldCharType="separate"/>
      </w:r>
      <w:r w:rsidR="00677CB2">
        <w:rPr>
          <w:b w:val="0"/>
          <w:bCs w:val="0"/>
          <w:noProof/>
        </w:rPr>
        <w:t>1</w:t>
      </w:r>
      <w:r w:rsidRPr="00D0044D">
        <w:rPr>
          <w:b w:val="0"/>
          <w:bCs w:val="0"/>
        </w:rPr>
        <w:fldChar w:fldCharType="end"/>
      </w:r>
      <w:bookmarkEnd w:id="4"/>
      <w:r w:rsidRPr="00D0044D">
        <w:rPr>
          <w:b w:val="0"/>
          <w:bCs w:val="0"/>
        </w:rPr>
        <w:t xml:space="preserve"> </w:t>
      </w:r>
      <w:r w:rsidRPr="00D0044D">
        <w:rPr>
          <w:rFonts w:hint="eastAsia"/>
          <w:b w:val="0"/>
          <w:bCs w:val="0"/>
        </w:rPr>
        <w:t>ラッソ回帰による分析例</w:t>
      </w:r>
      <w:bookmarkEnd w:id="5"/>
    </w:p>
    <w:p w14:paraId="188C3DA4" w14:textId="77777777" w:rsidR="00B632AD" w:rsidRPr="00B632AD" w:rsidRDefault="00B632AD" w:rsidP="000369B3"/>
    <w:p w14:paraId="793024C2" w14:textId="13F5D5CC" w:rsidR="00A6147A" w:rsidRDefault="004953BA" w:rsidP="00A6147A">
      <w:pPr>
        <w:pStyle w:val="a3"/>
        <w:numPr>
          <w:ilvl w:val="2"/>
          <w:numId w:val="2"/>
        </w:numPr>
        <w:ind w:leftChars="0" w:left="993"/>
      </w:pPr>
      <w:r>
        <w:rPr>
          <w:rFonts w:hint="eastAsia"/>
        </w:rPr>
        <w:t>ファクター間の依存性に関する分析</w:t>
      </w:r>
    </w:p>
    <w:p w14:paraId="5EB2B3D9" w14:textId="77777777" w:rsidR="00A6147A" w:rsidRDefault="00F144CC" w:rsidP="00F876F3">
      <w:pPr>
        <w:pStyle w:val="a3"/>
        <w:ind w:leftChars="0" w:left="992" w:firstLineChars="100" w:firstLine="210"/>
      </w:pPr>
      <w:r>
        <w:rPr>
          <w:rFonts w:hint="eastAsia"/>
        </w:rPr>
        <w:t>ESGスコア，Eスコア，Sスコア，Gスコア</w:t>
      </w:r>
      <w:r w:rsidR="00F876F3">
        <w:rPr>
          <w:rFonts w:hint="eastAsia"/>
        </w:rPr>
        <w:t>の各々によって分類した第一分位ポートフォリオと第五分位ポートフォリオ</w:t>
      </w:r>
      <w:r>
        <w:rPr>
          <w:rFonts w:hint="eastAsia"/>
        </w:rPr>
        <w:t>を被説明変数とし，バリュー，モメン</w:t>
      </w:r>
      <w:r>
        <w:rPr>
          <w:rFonts w:hint="eastAsia"/>
        </w:rPr>
        <w:lastRenderedPageBreak/>
        <w:t>タム．低ボラティリティ，クオリティをリスクファクターとした回帰を実施する</w:t>
      </w:r>
      <w:r w:rsidR="007D7ACC">
        <w:rPr>
          <w:rFonts w:hint="eastAsia"/>
        </w:rPr>
        <w:t>（過去一年間のデータを用いて日次の回帰を実施）</w:t>
      </w:r>
      <w:r>
        <w:rPr>
          <w:rFonts w:hint="eastAsia"/>
        </w:rPr>
        <w:t>．</w:t>
      </w:r>
    </w:p>
    <w:p w14:paraId="0D223EF7" w14:textId="47EB5DE7" w:rsidR="003852B2" w:rsidRDefault="00FA6FEE" w:rsidP="00BD3396">
      <w:pPr>
        <w:pStyle w:val="a3"/>
        <w:ind w:leftChars="0" w:left="992" w:firstLineChars="100" w:firstLine="210"/>
      </w:pPr>
      <w:r>
        <w:rPr>
          <w:rFonts w:hint="eastAsia"/>
        </w:rPr>
        <w:t>次に</w:t>
      </w:r>
      <w:r w:rsidR="00F33C38">
        <w:rPr>
          <w:rFonts w:hint="eastAsia"/>
        </w:rPr>
        <w:t>，第一及び第五分位のポートフォリオ及び上記の各ファクターの超過リターン</w:t>
      </w:r>
      <w:r w:rsidR="00F33C38">
        <w:rPr>
          <w:rStyle w:val="a8"/>
        </w:rPr>
        <w:footnoteReference w:id="5"/>
      </w:r>
      <w:r w:rsidR="00F33C38">
        <w:rPr>
          <w:rFonts w:hint="eastAsia"/>
        </w:rPr>
        <w:t>の時系列に対してクラスタリング分析</w:t>
      </w:r>
      <w:r w:rsidR="00F33C38">
        <w:rPr>
          <w:rStyle w:val="a8"/>
        </w:rPr>
        <w:footnoteReference w:id="6"/>
      </w:r>
      <w:r w:rsidR="00F33C38">
        <w:rPr>
          <w:rFonts w:hint="eastAsia"/>
        </w:rPr>
        <w:t>を行い，E</w:t>
      </w:r>
      <w:r w:rsidR="00F33C38">
        <w:t>SG</w:t>
      </w:r>
      <w:r w:rsidR="00F33C38">
        <w:rPr>
          <w:rFonts w:hint="eastAsia"/>
        </w:rPr>
        <w:t>関連指標によって選定されたポートフォリオの推移と既存ファクターの推移との類似度を測定する</w:t>
      </w:r>
      <w:r w:rsidR="00BD3396">
        <w:rPr>
          <w:rStyle w:val="a8"/>
        </w:rPr>
        <w:footnoteReference w:id="7"/>
      </w:r>
      <w:r w:rsidR="00F33C38">
        <w:rPr>
          <w:rFonts w:hint="eastAsia"/>
        </w:rPr>
        <w:t>．</w:t>
      </w:r>
    </w:p>
    <w:p w14:paraId="715A8566" w14:textId="55B1A5BD" w:rsidR="00D904D5" w:rsidRDefault="00E93A0B" w:rsidP="00D904D5">
      <w:pPr>
        <w:pStyle w:val="a3"/>
        <w:ind w:leftChars="0" w:left="992" w:firstLineChars="100" w:firstLine="210"/>
      </w:pPr>
      <w:r>
        <w:rPr>
          <w:rFonts w:hint="eastAsia"/>
        </w:rPr>
        <w:t>最後に，E</w:t>
      </w:r>
      <w:r>
        <w:t>SG</w:t>
      </w:r>
      <w:r>
        <w:rPr>
          <w:rFonts w:hint="eastAsia"/>
        </w:rPr>
        <w:t>ファクターと既存ファクター</w:t>
      </w:r>
      <w:r w:rsidR="00D904D5">
        <w:rPr>
          <w:rFonts w:hint="eastAsia"/>
        </w:rPr>
        <w:t>の相関係数を算出し，E</w:t>
      </w:r>
      <w:r w:rsidR="00D904D5">
        <w:t>SG</w:t>
      </w:r>
      <w:r w:rsidR="00D904D5">
        <w:rPr>
          <w:rFonts w:hint="eastAsia"/>
        </w:rPr>
        <w:t>ファクターによる分散効果を確認する．</w:t>
      </w:r>
    </w:p>
    <w:p w14:paraId="01264266" w14:textId="77777777" w:rsidR="004F01C3" w:rsidRDefault="004F01C3" w:rsidP="00BD3396">
      <w:pPr>
        <w:pStyle w:val="a3"/>
        <w:ind w:leftChars="0" w:left="992" w:firstLineChars="100" w:firstLine="210"/>
      </w:pPr>
    </w:p>
    <w:p w14:paraId="1A15F81D" w14:textId="05A0D692" w:rsidR="00AA44C0" w:rsidRDefault="00AA44C0" w:rsidP="00AA44C0">
      <w:pPr>
        <w:pStyle w:val="a3"/>
        <w:numPr>
          <w:ilvl w:val="1"/>
          <w:numId w:val="4"/>
        </w:numPr>
        <w:ind w:leftChars="0"/>
      </w:pPr>
      <w:r>
        <w:rPr>
          <w:rFonts w:hint="eastAsia"/>
        </w:rPr>
        <w:t>結果</w:t>
      </w:r>
    </w:p>
    <w:p w14:paraId="0654501F" w14:textId="353BF0DE" w:rsidR="00E42D13" w:rsidRDefault="00E42D13" w:rsidP="00E42D13">
      <w:pPr>
        <w:ind w:firstLineChars="100" w:firstLine="210"/>
      </w:pPr>
      <w:r>
        <w:fldChar w:fldCharType="begin"/>
      </w:r>
      <w:r>
        <w:instrText xml:space="preserve"> </w:instrText>
      </w:r>
      <w:r>
        <w:rPr>
          <w:rFonts w:hint="eastAsia"/>
        </w:rPr>
        <w:instrText>REF _Ref65006981 \r \h</w:instrText>
      </w:r>
      <w:r>
        <w:instrText xml:space="preserve"> </w:instrText>
      </w:r>
      <w:r>
        <w:fldChar w:fldCharType="separate"/>
      </w:r>
      <w:r w:rsidR="001B407A">
        <w:t>2.2</w:t>
      </w:r>
      <w:r>
        <w:fldChar w:fldCharType="end"/>
      </w:r>
      <w:r>
        <w:rPr>
          <w:rFonts w:hint="eastAsia"/>
        </w:rPr>
        <w:t>節の</w:t>
      </w:r>
      <w:r w:rsidR="00D3613C">
        <w:rPr>
          <w:rFonts w:hint="eastAsia"/>
        </w:rPr>
        <w:t>主な</w:t>
      </w:r>
      <w:r>
        <w:rPr>
          <w:rFonts w:hint="eastAsia"/>
        </w:rPr>
        <w:t>分析</w:t>
      </w:r>
      <w:r w:rsidR="00D904D5">
        <w:rPr>
          <w:rFonts w:hint="eastAsia"/>
        </w:rPr>
        <w:t>結果とその</w:t>
      </w:r>
      <w:r>
        <w:rPr>
          <w:rFonts w:hint="eastAsia"/>
        </w:rPr>
        <w:t>考察を以下に記載する．なお，詳細な結果についてはA</w:t>
      </w:r>
      <w:r>
        <w:t>ppendix</w:t>
      </w:r>
      <w:r>
        <w:rPr>
          <w:rFonts w:hint="eastAsia"/>
        </w:rPr>
        <w:t>に記載する．</w:t>
      </w:r>
    </w:p>
    <w:p w14:paraId="4504C39E" w14:textId="62D16474" w:rsidR="00E42D13" w:rsidRDefault="00E42D13" w:rsidP="00E42D13">
      <w:pPr>
        <w:ind w:firstLineChars="100" w:firstLine="210"/>
      </w:pPr>
    </w:p>
    <w:p w14:paraId="1607B11A" w14:textId="0153279F" w:rsidR="00E42D13" w:rsidRDefault="000B20C5" w:rsidP="00C57DDA">
      <w:pPr>
        <w:pStyle w:val="a3"/>
        <w:numPr>
          <w:ilvl w:val="0"/>
          <w:numId w:val="1"/>
        </w:numPr>
        <w:ind w:leftChars="0" w:left="709"/>
      </w:pPr>
      <w:r>
        <w:rPr>
          <w:rFonts w:hint="eastAsia"/>
        </w:rPr>
        <w:t>(</w:t>
      </w:r>
      <w:r>
        <w:t>a)</w:t>
      </w:r>
      <w:r>
        <w:rPr>
          <w:rFonts w:hint="eastAsia"/>
        </w:rPr>
        <w:t>複数ファクターによる分析によると，</w:t>
      </w:r>
      <w:r w:rsidR="00D80C0A">
        <w:rPr>
          <w:rFonts w:hint="eastAsia"/>
        </w:rPr>
        <w:t>単一ファクターでは地域にかかわらず，ESG関連ファクターの決定係数が既存ファクターよりも大きい．</w:t>
      </w:r>
      <w:r w:rsidR="00C57DDA">
        <w:rPr>
          <w:rFonts w:hint="eastAsia"/>
        </w:rPr>
        <w:t>複数ファクターにおける結果においても地域にかかわらず，ESG関連ファクターをモデルに入れることで決定係数が大幅に改善することはない．しかしながら，第二期間において６Fモデル及び8FモデルのESG関連ファクターの回帰係数を確認すると，北アメリカでは有意ではないものの，ユーロ圏では有意となる．</w:t>
      </w:r>
      <w:r w:rsidR="00C57DDA">
        <w:t xml:space="preserve"> </w:t>
      </w:r>
    </w:p>
    <w:p w14:paraId="6E23B562" w14:textId="6AF25A66" w:rsidR="00461EC2" w:rsidRDefault="00461EC2" w:rsidP="00461EC2">
      <w:pPr>
        <w:pStyle w:val="a3"/>
        <w:ind w:leftChars="0" w:left="709"/>
      </w:pPr>
    </w:p>
    <w:p w14:paraId="3F68B92E" w14:textId="137A0609" w:rsidR="00D53DEF" w:rsidRDefault="00D53DEF" w:rsidP="00D53DEF">
      <w:pPr>
        <w:pStyle w:val="ae"/>
        <w:keepNext/>
        <w:jc w:val="center"/>
        <w:rPr>
          <w:b w:val="0"/>
          <w:bCs w:val="0"/>
        </w:rPr>
      </w:pPr>
      <w:r w:rsidRPr="00D53DEF">
        <w:rPr>
          <w:b w:val="0"/>
          <w:bCs w:val="0"/>
        </w:rPr>
        <w:t xml:space="preserve">表 </w:t>
      </w:r>
      <w:r w:rsidRPr="00D53DEF">
        <w:rPr>
          <w:b w:val="0"/>
          <w:bCs w:val="0"/>
        </w:rPr>
        <w:fldChar w:fldCharType="begin"/>
      </w:r>
      <w:r w:rsidRPr="00D53DEF">
        <w:rPr>
          <w:b w:val="0"/>
          <w:bCs w:val="0"/>
        </w:rPr>
        <w:instrText xml:space="preserve"> SEQ 表 \* ARABIC </w:instrText>
      </w:r>
      <w:r w:rsidRPr="00D53DEF">
        <w:rPr>
          <w:b w:val="0"/>
          <w:bCs w:val="0"/>
        </w:rPr>
        <w:fldChar w:fldCharType="separate"/>
      </w:r>
      <w:r w:rsidR="001B407A">
        <w:rPr>
          <w:b w:val="0"/>
          <w:bCs w:val="0"/>
          <w:noProof/>
        </w:rPr>
        <w:t>3</w:t>
      </w:r>
      <w:r w:rsidRPr="00D53DEF">
        <w:rPr>
          <w:b w:val="0"/>
          <w:bCs w:val="0"/>
        </w:rPr>
        <w:fldChar w:fldCharType="end"/>
      </w:r>
      <w:r w:rsidRPr="00D53DEF">
        <w:rPr>
          <w:rFonts w:hint="eastAsia"/>
          <w:b w:val="0"/>
          <w:bCs w:val="0"/>
        </w:rPr>
        <w:t xml:space="preserve">　単一ファクターによる回帰の決定係数</w:t>
      </w:r>
    </w:p>
    <w:p w14:paraId="6DDF469D" w14:textId="4072A6E4" w:rsidR="00D53DEF" w:rsidRPr="00D53DEF" w:rsidRDefault="00D53DEF" w:rsidP="00D53DEF">
      <w:pPr>
        <w:ind w:leftChars="675" w:left="1418"/>
        <w:rPr>
          <w:sz w:val="18"/>
          <w:szCs w:val="18"/>
        </w:rPr>
      </w:pPr>
      <w:r w:rsidRPr="00D53DEF">
        <w:rPr>
          <w:rFonts w:hint="eastAsia"/>
          <w:sz w:val="18"/>
          <w:szCs w:val="18"/>
        </w:rPr>
        <w:t>●ユーロ圏</w:t>
      </w:r>
    </w:p>
    <w:p w14:paraId="24560FBD" w14:textId="1592F65F" w:rsidR="00D53DEF" w:rsidRDefault="00D53DEF" w:rsidP="00D53DEF">
      <w:pPr>
        <w:pStyle w:val="a3"/>
        <w:ind w:leftChars="0" w:left="709"/>
        <w:jc w:val="center"/>
      </w:pPr>
      <w:r>
        <w:rPr>
          <w:noProof/>
        </w:rPr>
        <w:drawing>
          <wp:inline distT="0" distB="0" distL="0" distR="0" wp14:anchorId="64B38A66" wp14:editId="7686CDF9">
            <wp:extent cx="4094328" cy="450376"/>
            <wp:effectExtent l="0" t="0" r="1905" b="698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8869" cy="504775"/>
                    </a:xfrm>
                    <a:prstGeom prst="rect">
                      <a:avLst/>
                    </a:prstGeom>
                    <a:noFill/>
                    <a:ln>
                      <a:noFill/>
                    </a:ln>
                  </pic:spPr>
                </pic:pic>
              </a:graphicData>
            </a:graphic>
          </wp:inline>
        </w:drawing>
      </w:r>
    </w:p>
    <w:p w14:paraId="42024B84" w14:textId="080E2404" w:rsidR="00D53DEF" w:rsidRDefault="00D53DEF" w:rsidP="00D53DEF">
      <w:pPr>
        <w:pStyle w:val="a3"/>
        <w:ind w:leftChars="0" w:left="1418"/>
        <w:rPr>
          <w:sz w:val="18"/>
          <w:szCs w:val="18"/>
        </w:rPr>
      </w:pPr>
      <w:r w:rsidRPr="00D53DEF">
        <w:rPr>
          <w:rFonts w:hint="eastAsia"/>
          <w:sz w:val="18"/>
          <w:szCs w:val="18"/>
        </w:rPr>
        <w:t>●北アメリカ</w:t>
      </w:r>
    </w:p>
    <w:p w14:paraId="218864FA" w14:textId="5CE4DCF3" w:rsidR="00D53DEF" w:rsidRDefault="00D53DEF" w:rsidP="00D53DEF">
      <w:pPr>
        <w:pStyle w:val="a3"/>
        <w:ind w:leftChars="0" w:left="1418"/>
        <w:rPr>
          <w:sz w:val="18"/>
          <w:szCs w:val="18"/>
        </w:rPr>
      </w:pPr>
      <w:r>
        <w:rPr>
          <w:noProof/>
          <w:sz w:val="18"/>
          <w:szCs w:val="18"/>
        </w:rPr>
        <w:drawing>
          <wp:inline distT="0" distB="0" distL="0" distR="0" wp14:anchorId="2A58A0EE" wp14:editId="790E5D52">
            <wp:extent cx="4053385" cy="865994"/>
            <wp:effectExtent l="0" t="0" r="444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392" cy="870268"/>
                    </a:xfrm>
                    <a:prstGeom prst="rect">
                      <a:avLst/>
                    </a:prstGeom>
                    <a:noFill/>
                    <a:ln>
                      <a:noFill/>
                    </a:ln>
                  </pic:spPr>
                </pic:pic>
              </a:graphicData>
            </a:graphic>
          </wp:inline>
        </w:drawing>
      </w:r>
    </w:p>
    <w:p w14:paraId="52FD43AC" w14:textId="77777777" w:rsidR="00D53DEF" w:rsidRPr="00D53DEF" w:rsidRDefault="00D53DEF" w:rsidP="00D53DEF">
      <w:pPr>
        <w:pStyle w:val="a3"/>
        <w:ind w:leftChars="0" w:left="1418"/>
        <w:rPr>
          <w:sz w:val="18"/>
          <w:szCs w:val="18"/>
        </w:rPr>
      </w:pPr>
    </w:p>
    <w:p w14:paraId="05EAA9CD" w14:textId="4B9DC456" w:rsidR="00D53DEF" w:rsidRDefault="00D53DEF" w:rsidP="00D53DEF">
      <w:pPr>
        <w:pStyle w:val="ae"/>
        <w:keepNext/>
        <w:jc w:val="center"/>
        <w:rPr>
          <w:b w:val="0"/>
          <w:bCs w:val="0"/>
        </w:rPr>
      </w:pPr>
      <w:r w:rsidRPr="00D53DEF">
        <w:rPr>
          <w:b w:val="0"/>
          <w:bCs w:val="0"/>
        </w:rPr>
        <w:t xml:space="preserve">表 </w:t>
      </w:r>
      <w:r w:rsidRPr="00D53DEF">
        <w:rPr>
          <w:b w:val="0"/>
          <w:bCs w:val="0"/>
        </w:rPr>
        <w:fldChar w:fldCharType="begin"/>
      </w:r>
      <w:r w:rsidRPr="00D53DEF">
        <w:rPr>
          <w:b w:val="0"/>
          <w:bCs w:val="0"/>
        </w:rPr>
        <w:instrText xml:space="preserve"> SEQ 表 \* ARABIC </w:instrText>
      </w:r>
      <w:r w:rsidRPr="00D53DEF">
        <w:rPr>
          <w:b w:val="0"/>
          <w:bCs w:val="0"/>
        </w:rPr>
        <w:fldChar w:fldCharType="separate"/>
      </w:r>
      <w:r w:rsidR="001B407A">
        <w:rPr>
          <w:b w:val="0"/>
          <w:bCs w:val="0"/>
          <w:noProof/>
        </w:rPr>
        <w:t>4</w:t>
      </w:r>
      <w:r w:rsidRPr="00D53DEF">
        <w:rPr>
          <w:b w:val="0"/>
          <w:bCs w:val="0"/>
        </w:rPr>
        <w:fldChar w:fldCharType="end"/>
      </w:r>
      <w:r w:rsidRPr="00D53DEF">
        <w:rPr>
          <w:rFonts w:hint="eastAsia"/>
          <w:b w:val="0"/>
          <w:bCs w:val="0"/>
        </w:rPr>
        <w:t xml:space="preserve">　複数ファクターによる回帰の決定係数</w:t>
      </w:r>
    </w:p>
    <w:p w14:paraId="3DBE10E1" w14:textId="0F78F4F7" w:rsidR="00D53DEF" w:rsidRPr="00D53DEF" w:rsidRDefault="00D53DEF" w:rsidP="00D53DEF">
      <w:pPr>
        <w:ind w:leftChars="675" w:left="1418"/>
        <w:rPr>
          <w:sz w:val="18"/>
          <w:szCs w:val="18"/>
        </w:rPr>
      </w:pPr>
      <w:r w:rsidRPr="00D53DEF">
        <w:rPr>
          <w:rFonts w:hint="eastAsia"/>
          <w:sz w:val="18"/>
          <w:szCs w:val="18"/>
        </w:rPr>
        <w:t>●ユーロ圏</w:t>
      </w:r>
    </w:p>
    <w:p w14:paraId="75161966" w14:textId="361C82E4" w:rsidR="00D53DEF" w:rsidRDefault="00D53DEF" w:rsidP="00D53DEF">
      <w:pPr>
        <w:pStyle w:val="a3"/>
        <w:ind w:leftChars="0" w:left="709"/>
        <w:jc w:val="center"/>
      </w:pPr>
      <w:r>
        <w:rPr>
          <w:noProof/>
        </w:rPr>
        <w:lastRenderedPageBreak/>
        <w:drawing>
          <wp:inline distT="0" distB="0" distL="0" distR="0" wp14:anchorId="01F2D8EC" wp14:editId="4EE4E8A5">
            <wp:extent cx="4080681" cy="908901"/>
            <wp:effectExtent l="0" t="0" r="0" b="571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633" cy="953660"/>
                    </a:xfrm>
                    <a:prstGeom prst="rect">
                      <a:avLst/>
                    </a:prstGeom>
                    <a:noFill/>
                    <a:ln>
                      <a:noFill/>
                    </a:ln>
                  </pic:spPr>
                </pic:pic>
              </a:graphicData>
            </a:graphic>
          </wp:inline>
        </w:drawing>
      </w:r>
    </w:p>
    <w:p w14:paraId="7ED641A9" w14:textId="0C060A6B" w:rsidR="00D53DEF" w:rsidRDefault="00D53DEF" w:rsidP="00D53DEF">
      <w:pPr>
        <w:pStyle w:val="a3"/>
        <w:ind w:leftChars="0" w:left="1418"/>
        <w:jc w:val="left"/>
        <w:rPr>
          <w:sz w:val="18"/>
          <w:szCs w:val="18"/>
        </w:rPr>
      </w:pPr>
      <w:r w:rsidRPr="00D53DEF">
        <w:rPr>
          <w:rFonts w:hint="eastAsia"/>
          <w:sz w:val="18"/>
          <w:szCs w:val="18"/>
        </w:rPr>
        <w:t>●北アメリカ</w:t>
      </w:r>
    </w:p>
    <w:p w14:paraId="5ECA714D" w14:textId="5D3A0C79" w:rsidR="00D53DEF" w:rsidRPr="00D53DEF" w:rsidRDefault="00D53DEF" w:rsidP="00D53DEF">
      <w:pPr>
        <w:pStyle w:val="a3"/>
        <w:ind w:leftChars="0" w:left="1418"/>
        <w:jc w:val="left"/>
        <w:rPr>
          <w:sz w:val="18"/>
          <w:szCs w:val="18"/>
        </w:rPr>
      </w:pPr>
      <w:r>
        <w:rPr>
          <w:noProof/>
          <w:sz w:val="18"/>
          <w:szCs w:val="18"/>
        </w:rPr>
        <w:drawing>
          <wp:inline distT="0" distB="0" distL="0" distR="0" wp14:anchorId="4C15FCB7" wp14:editId="20A45F33">
            <wp:extent cx="4083984" cy="1739777"/>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8564" cy="1767288"/>
                    </a:xfrm>
                    <a:prstGeom prst="rect">
                      <a:avLst/>
                    </a:prstGeom>
                    <a:noFill/>
                    <a:ln>
                      <a:noFill/>
                    </a:ln>
                  </pic:spPr>
                </pic:pic>
              </a:graphicData>
            </a:graphic>
          </wp:inline>
        </w:drawing>
      </w:r>
    </w:p>
    <w:p w14:paraId="21204C94" w14:textId="7C286090" w:rsidR="00D53DEF" w:rsidRPr="00D53DEF" w:rsidRDefault="00D53DEF" w:rsidP="00D53DEF">
      <w:pPr>
        <w:pStyle w:val="ae"/>
        <w:keepNext/>
        <w:jc w:val="center"/>
        <w:rPr>
          <w:b w:val="0"/>
          <w:bCs w:val="0"/>
        </w:rPr>
      </w:pPr>
      <w:r w:rsidRPr="00D53DEF">
        <w:rPr>
          <w:b w:val="0"/>
          <w:bCs w:val="0"/>
        </w:rPr>
        <w:t xml:space="preserve">表 </w:t>
      </w:r>
      <w:r w:rsidRPr="00D53DEF">
        <w:rPr>
          <w:b w:val="0"/>
          <w:bCs w:val="0"/>
        </w:rPr>
        <w:fldChar w:fldCharType="begin"/>
      </w:r>
      <w:r w:rsidRPr="00D53DEF">
        <w:rPr>
          <w:b w:val="0"/>
          <w:bCs w:val="0"/>
        </w:rPr>
        <w:instrText xml:space="preserve"> SEQ 表 \* ARABIC </w:instrText>
      </w:r>
      <w:r w:rsidRPr="00D53DEF">
        <w:rPr>
          <w:b w:val="0"/>
          <w:bCs w:val="0"/>
        </w:rPr>
        <w:fldChar w:fldCharType="separate"/>
      </w:r>
      <w:r w:rsidR="001B407A">
        <w:rPr>
          <w:b w:val="0"/>
          <w:bCs w:val="0"/>
          <w:noProof/>
        </w:rPr>
        <w:t>5</w:t>
      </w:r>
      <w:r w:rsidRPr="00D53DEF">
        <w:rPr>
          <w:b w:val="0"/>
          <w:bCs w:val="0"/>
        </w:rPr>
        <w:fldChar w:fldCharType="end"/>
      </w:r>
      <w:r w:rsidRPr="00D53DEF">
        <w:rPr>
          <w:rFonts w:hint="eastAsia"/>
          <w:b w:val="0"/>
          <w:bCs w:val="0"/>
        </w:rPr>
        <w:t xml:space="preserve">　複数ファクターによる</w:t>
      </w:r>
      <w:r w:rsidR="00D61915">
        <w:rPr>
          <w:rFonts w:hint="eastAsia"/>
          <w:b w:val="0"/>
          <w:bCs w:val="0"/>
        </w:rPr>
        <w:t>回帰の回帰係数（左：ユーロ圏，右：北アメリカ）</w:t>
      </w:r>
    </w:p>
    <w:p w14:paraId="01DD71B3" w14:textId="705960AC" w:rsidR="00D53DEF" w:rsidRDefault="00D53DEF" w:rsidP="00D53DEF">
      <w:pPr>
        <w:pStyle w:val="a3"/>
        <w:ind w:leftChars="0" w:left="709"/>
        <w:jc w:val="center"/>
      </w:pPr>
      <w:r>
        <w:rPr>
          <w:noProof/>
        </w:rPr>
        <w:drawing>
          <wp:inline distT="0" distB="0" distL="0" distR="0" wp14:anchorId="16BF05D2" wp14:editId="03955522">
            <wp:extent cx="2483485" cy="2703744"/>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297" cy="2784102"/>
                    </a:xfrm>
                    <a:prstGeom prst="rect">
                      <a:avLst/>
                    </a:prstGeom>
                    <a:noFill/>
                    <a:ln>
                      <a:noFill/>
                    </a:ln>
                  </pic:spPr>
                </pic:pic>
              </a:graphicData>
            </a:graphic>
          </wp:inline>
        </w:drawing>
      </w:r>
      <w:r>
        <w:rPr>
          <w:rFonts w:hint="eastAsia"/>
        </w:rPr>
        <w:t xml:space="preserve">　</w:t>
      </w:r>
      <w:r w:rsidR="00D61915">
        <w:rPr>
          <w:rFonts w:hint="eastAsia"/>
          <w:noProof/>
        </w:rPr>
        <w:drawing>
          <wp:inline distT="0" distB="0" distL="0" distR="0" wp14:anchorId="573ECEC2" wp14:editId="4AD2B80C">
            <wp:extent cx="2306472" cy="2703896"/>
            <wp:effectExtent l="0" t="0" r="0" b="127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9338" cy="2742425"/>
                    </a:xfrm>
                    <a:prstGeom prst="rect">
                      <a:avLst/>
                    </a:prstGeom>
                    <a:noFill/>
                    <a:ln>
                      <a:noFill/>
                    </a:ln>
                  </pic:spPr>
                </pic:pic>
              </a:graphicData>
            </a:graphic>
          </wp:inline>
        </w:drawing>
      </w:r>
    </w:p>
    <w:p w14:paraId="34EE1A63" w14:textId="2B70839E" w:rsidR="00D53DEF" w:rsidRDefault="00D53DEF" w:rsidP="00D53DEF">
      <w:pPr>
        <w:pStyle w:val="a3"/>
        <w:ind w:leftChars="0" w:left="709"/>
        <w:jc w:val="left"/>
      </w:pPr>
    </w:p>
    <w:p w14:paraId="7D925BE0" w14:textId="01172BCE" w:rsidR="00D61915" w:rsidRDefault="001A486C" w:rsidP="00D61915">
      <w:pPr>
        <w:pStyle w:val="a3"/>
        <w:numPr>
          <w:ilvl w:val="0"/>
          <w:numId w:val="1"/>
        </w:numPr>
        <w:ind w:leftChars="0" w:left="709"/>
      </w:pPr>
      <w:r>
        <w:rPr>
          <w:rFonts w:hint="eastAsia"/>
        </w:rPr>
        <w:t>(</w:t>
      </w:r>
      <w:r>
        <w:t>b)Lasso</w:t>
      </w:r>
      <w:r>
        <w:rPr>
          <w:rFonts w:hint="eastAsia"/>
        </w:rPr>
        <w:t>回帰による分析によると，ESG</w:t>
      </w:r>
      <w:r w:rsidR="00D904D5">
        <w:rPr>
          <w:rFonts w:hint="eastAsia"/>
        </w:rPr>
        <w:t>スコア</w:t>
      </w:r>
      <w:r>
        <w:rPr>
          <w:rFonts w:hint="eastAsia"/>
        </w:rPr>
        <w:t>，バリュー，モメンタム，低ボラティリティ，クオリティの五つのファクターのうち，</w:t>
      </w:r>
      <w:r w:rsidR="00203C5C">
        <w:rPr>
          <w:rFonts w:hint="eastAsia"/>
        </w:rPr>
        <w:t>北アメリカでは</w:t>
      </w:r>
      <w:r w:rsidR="00A9431A">
        <w:rPr>
          <w:rFonts w:hint="eastAsia"/>
        </w:rPr>
        <w:t>初めに</w:t>
      </w:r>
      <w:r w:rsidR="00203C5C">
        <w:rPr>
          <w:rFonts w:hint="eastAsia"/>
        </w:rPr>
        <w:t>クオリティが選択され，その次にESG</w:t>
      </w:r>
      <w:r w:rsidR="00D904D5">
        <w:rPr>
          <w:rFonts w:hint="eastAsia"/>
        </w:rPr>
        <w:t>スコア</w:t>
      </w:r>
      <w:r w:rsidR="00203C5C">
        <w:rPr>
          <w:rFonts w:hint="eastAsia"/>
        </w:rPr>
        <w:t>が選択される． パラメータ</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203C5C">
        <w:rPr>
          <w:rFonts w:hint="eastAsia"/>
        </w:rPr>
        <w:t>を大きくすると，途中から回帰係数の値が減少し，</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=1</m:t>
        </m:r>
      </m:oMath>
      <w:r w:rsidR="00203C5C">
        <w:rPr>
          <w:rFonts w:hint="eastAsia"/>
        </w:rPr>
        <w:t>では全てのファクターの中で最小の値となっている．したがってES</w:t>
      </w:r>
      <w:r w:rsidR="00D904D5">
        <w:rPr>
          <w:rFonts w:hint="eastAsia"/>
        </w:rPr>
        <w:t>Ｇスコア</w:t>
      </w:r>
      <w:r w:rsidR="00203C5C">
        <w:rPr>
          <w:rFonts w:hint="eastAsia"/>
        </w:rPr>
        <w:t>の感応度の一部が他のファクターに置き換えられていると考えられる．これは，</w:t>
      </w:r>
      <w:r w:rsidR="00A9431A">
        <w:rPr>
          <w:rFonts w:hint="eastAsia"/>
        </w:rPr>
        <w:t>ファクター数が少なく，十分な分散効果がないポートフォリオにおいてはESG</w:t>
      </w:r>
      <w:r w:rsidR="00D904D5">
        <w:rPr>
          <w:rFonts w:hint="eastAsia"/>
        </w:rPr>
        <w:t>スコア</w:t>
      </w:r>
      <w:r w:rsidR="00A9431A">
        <w:rPr>
          <w:rFonts w:hint="eastAsia"/>
        </w:rPr>
        <w:t>が重要であるが，十分な分散効果があるポートフォリオでは重要ではない事を意味している．一方，ユーロ圏では，初めにESG</w:t>
      </w:r>
      <w:r w:rsidR="00D904D5">
        <w:rPr>
          <w:rFonts w:hint="eastAsia"/>
        </w:rPr>
        <w:t>スコア</w:t>
      </w:r>
      <w:r w:rsidR="00A9431A">
        <w:rPr>
          <w:rFonts w:hint="eastAsia"/>
        </w:rPr>
        <w:t>が選択され，その後も感応度は高いままである．</w:t>
      </w:r>
      <w:r w:rsidR="0090126F">
        <w:rPr>
          <w:rFonts w:hint="eastAsia"/>
        </w:rPr>
        <w:t>したがって，</w:t>
      </w:r>
      <w:r w:rsidR="00E93A0B">
        <w:rPr>
          <w:rFonts w:hint="eastAsia"/>
        </w:rPr>
        <w:t>ESG</w:t>
      </w:r>
      <w:r w:rsidR="00D904D5">
        <w:rPr>
          <w:rFonts w:hint="eastAsia"/>
        </w:rPr>
        <w:t>スコア</w:t>
      </w:r>
      <w:r w:rsidR="00E93A0B">
        <w:rPr>
          <w:rFonts w:hint="eastAsia"/>
        </w:rPr>
        <w:t>はユー</w:t>
      </w:r>
      <w:r w:rsidR="00E93A0B">
        <w:rPr>
          <w:rFonts w:hint="eastAsia"/>
        </w:rPr>
        <w:lastRenderedPageBreak/>
        <w:t>ロ圏ではリスクファクターとなり得るが，北アメリカではそうではないと考えられる．</w:t>
      </w:r>
    </w:p>
    <w:p w14:paraId="3AA0F09D" w14:textId="1B1406DD" w:rsidR="00D61915" w:rsidRDefault="00D61915" w:rsidP="00D61915">
      <w:pPr>
        <w:pStyle w:val="a3"/>
        <w:keepNext/>
        <w:ind w:leftChars="0" w:left="709"/>
      </w:pPr>
      <w:r>
        <w:rPr>
          <w:noProof/>
        </w:rPr>
        <w:drawing>
          <wp:inline distT="0" distB="0" distL="0" distR="0" wp14:anchorId="72FA9D19" wp14:editId="471E33E1">
            <wp:extent cx="2402006" cy="1278432"/>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3504" cy="1343098"/>
                    </a:xfrm>
                    <a:prstGeom prst="rect">
                      <a:avLst/>
                    </a:prstGeom>
                    <a:noFill/>
                    <a:ln>
                      <a:noFill/>
                    </a:ln>
                  </pic:spPr>
                </pic:pic>
              </a:graphicData>
            </a:graphic>
          </wp:inline>
        </w:drawing>
      </w:r>
      <w:r>
        <w:rPr>
          <w:noProof/>
        </w:rPr>
        <w:drawing>
          <wp:inline distT="0" distB="0" distL="0" distR="0" wp14:anchorId="6A5814E3" wp14:editId="5026490B">
            <wp:extent cx="2271027" cy="1277653"/>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8848" cy="1293305"/>
                    </a:xfrm>
                    <a:prstGeom prst="rect">
                      <a:avLst/>
                    </a:prstGeom>
                    <a:noFill/>
                    <a:ln>
                      <a:noFill/>
                    </a:ln>
                  </pic:spPr>
                </pic:pic>
              </a:graphicData>
            </a:graphic>
          </wp:inline>
        </w:drawing>
      </w:r>
    </w:p>
    <w:p w14:paraId="4B3B98F7" w14:textId="5FD861A9" w:rsidR="00D61915" w:rsidRPr="00D61915" w:rsidRDefault="00D61915" w:rsidP="00D61915">
      <w:pPr>
        <w:pStyle w:val="ae"/>
        <w:jc w:val="center"/>
        <w:rPr>
          <w:b w:val="0"/>
          <w:bCs w:val="0"/>
        </w:rPr>
      </w:pPr>
      <w:r w:rsidRPr="00D61915">
        <w:rPr>
          <w:b w:val="0"/>
          <w:bCs w:val="0"/>
        </w:rPr>
        <w:t xml:space="preserve">図 </w:t>
      </w:r>
      <w:r w:rsidRPr="00D61915">
        <w:rPr>
          <w:b w:val="0"/>
          <w:bCs w:val="0"/>
        </w:rPr>
        <w:fldChar w:fldCharType="begin"/>
      </w:r>
      <w:r w:rsidRPr="00D61915">
        <w:rPr>
          <w:b w:val="0"/>
          <w:bCs w:val="0"/>
        </w:rPr>
        <w:instrText xml:space="preserve"> SEQ 図 \* ARABIC </w:instrText>
      </w:r>
      <w:r w:rsidRPr="00D61915">
        <w:rPr>
          <w:b w:val="0"/>
          <w:bCs w:val="0"/>
        </w:rPr>
        <w:fldChar w:fldCharType="separate"/>
      </w:r>
      <w:r w:rsidR="00677CB2">
        <w:rPr>
          <w:b w:val="0"/>
          <w:bCs w:val="0"/>
          <w:noProof/>
        </w:rPr>
        <w:t>2</w:t>
      </w:r>
      <w:r w:rsidRPr="00D61915">
        <w:rPr>
          <w:b w:val="0"/>
          <w:bCs w:val="0"/>
        </w:rPr>
        <w:fldChar w:fldCharType="end"/>
      </w:r>
      <w:r w:rsidRPr="00D61915">
        <w:rPr>
          <w:rFonts w:hint="eastAsia"/>
          <w:b w:val="0"/>
          <w:bCs w:val="0"/>
        </w:rPr>
        <w:t xml:space="preserve">　ラッソ回帰の結果</w:t>
      </w:r>
      <w:r w:rsidR="0089326F">
        <w:rPr>
          <w:rFonts w:hint="eastAsia"/>
          <w:b w:val="0"/>
          <w:bCs w:val="0"/>
        </w:rPr>
        <w:t>（左：ユーロ圏，右：北アメリカ）</w:t>
      </w:r>
    </w:p>
    <w:p w14:paraId="040220B9" w14:textId="67DEBF66" w:rsidR="00D61915" w:rsidRDefault="00D61915" w:rsidP="00D61915">
      <w:pPr>
        <w:pStyle w:val="a3"/>
        <w:ind w:leftChars="0" w:left="709"/>
      </w:pPr>
    </w:p>
    <w:p w14:paraId="584951F9" w14:textId="4CC15504" w:rsidR="00A07F78" w:rsidRDefault="00D904D5" w:rsidP="0089326F">
      <w:pPr>
        <w:pStyle w:val="a3"/>
        <w:numPr>
          <w:ilvl w:val="0"/>
          <w:numId w:val="1"/>
        </w:numPr>
        <w:ind w:leftChars="0" w:left="709"/>
      </w:pPr>
      <w:r>
        <w:rPr>
          <w:rFonts w:hint="eastAsia"/>
        </w:rPr>
        <w:t>バリュー，モメンタム，低ボラティリティ，クオリティ，E</w:t>
      </w:r>
      <w:r>
        <w:t>SG</w:t>
      </w:r>
      <w:r>
        <w:rPr>
          <w:rFonts w:hint="eastAsia"/>
        </w:rPr>
        <w:t>スコアの時系列について第二期間の相関係数を算出すると，ユーロ圏においては他の相関係数と比較して，E</w:t>
      </w:r>
      <w:r>
        <w:t>SG</w:t>
      </w:r>
      <w:r>
        <w:rPr>
          <w:rFonts w:hint="eastAsia"/>
        </w:rPr>
        <w:t>スコアとその他の既存ファクターは低い値が得られている．したがって，E</w:t>
      </w:r>
      <w:r>
        <w:t>SG</w:t>
      </w:r>
      <w:r>
        <w:rPr>
          <w:rFonts w:hint="eastAsia"/>
        </w:rPr>
        <w:t>スコアを</w:t>
      </w:r>
      <w:r w:rsidR="00461EC2">
        <w:rPr>
          <w:rFonts w:hint="eastAsia"/>
        </w:rPr>
        <w:t>考慮したポートフォリオを組むことで考慮しない場合よりも分散効果を高めることができると考えられる．一方で，北アメリカの場合は，相関係数が低いとは言えないため，ユーロ圏ほどの分散効果は期待できない．</w:t>
      </w:r>
    </w:p>
    <w:p w14:paraId="2FE76826" w14:textId="77777777" w:rsidR="0089326F" w:rsidRDefault="0089326F" w:rsidP="0089326F">
      <w:pPr>
        <w:pStyle w:val="a3"/>
        <w:ind w:leftChars="0" w:left="709"/>
      </w:pPr>
    </w:p>
    <w:p w14:paraId="675C7ECC" w14:textId="0C243103" w:rsidR="0089326F" w:rsidRDefault="0089326F" w:rsidP="0089326F">
      <w:pPr>
        <w:pStyle w:val="ae"/>
        <w:keepNext/>
        <w:jc w:val="center"/>
        <w:rPr>
          <w:b w:val="0"/>
          <w:bCs w:val="0"/>
        </w:rPr>
      </w:pPr>
      <w:r w:rsidRPr="0089326F">
        <w:rPr>
          <w:b w:val="0"/>
          <w:bCs w:val="0"/>
        </w:rPr>
        <w:t xml:space="preserve">表 </w:t>
      </w:r>
      <w:r w:rsidRPr="0089326F">
        <w:rPr>
          <w:b w:val="0"/>
          <w:bCs w:val="0"/>
        </w:rPr>
        <w:fldChar w:fldCharType="begin"/>
      </w:r>
      <w:r w:rsidRPr="0089326F">
        <w:rPr>
          <w:b w:val="0"/>
          <w:bCs w:val="0"/>
        </w:rPr>
        <w:instrText xml:space="preserve"> SEQ 表 \* ARABIC </w:instrText>
      </w:r>
      <w:r w:rsidRPr="0089326F">
        <w:rPr>
          <w:b w:val="0"/>
          <w:bCs w:val="0"/>
        </w:rPr>
        <w:fldChar w:fldCharType="separate"/>
      </w:r>
      <w:r w:rsidR="001B407A">
        <w:rPr>
          <w:b w:val="0"/>
          <w:bCs w:val="0"/>
          <w:noProof/>
        </w:rPr>
        <w:t>6</w:t>
      </w:r>
      <w:r w:rsidRPr="0089326F">
        <w:rPr>
          <w:b w:val="0"/>
          <w:bCs w:val="0"/>
        </w:rPr>
        <w:fldChar w:fldCharType="end"/>
      </w:r>
      <w:r w:rsidRPr="0089326F">
        <w:rPr>
          <w:rFonts w:hint="eastAsia"/>
          <w:b w:val="0"/>
          <w:bCs w:val="0"/>
        </w:rPr>
        <w:t xml:space="preserve">　ファクター間の相関係数</w:t>
      </w:r>
    </w:p>
    <w:p w14:paraId="28BE45D0" w14:textId="32C3DEDB" w:rsidR="0089326F" w:rsidRPr="0089326F" w:rsidRDefault="0089326F" w:rsidP="0089326F">
      <w:pPr>
        <w:ind w:leftChars="675" w:left="1418"/>
        <w:rPr>
          <w:sz w:val="18"/>
          <w:szCs w:val="18"/>
        </w:rPr>
      </w:pPr>
      <w:r w:rsidRPr="0089326F">
        <w:rPr>
          <w:rFonts w:hint="eastAsia"/>
          <w:sz w:val="18"/>
          <w:szCs w:val="18"/>
        </w:rPr>
        <w:t>●ユーロ圏</w:t>
      </w:r>
    </w:p>
    <w:p w14:paraId="4D69FF5A" w14:textId="47AFE3E7" w:rsidR="0089326F" w:rsidRDefault="0089326F" w:rsidP="0089326F">
      <w:pPr>
        <w:pStyle w:val="a3"/>
        <w:ind w:leftChars="0" w:left="709"/>
        <w:jc w:val="center"/>
      </w:pPr>
      <w:r>
        <w:rPr>
          <w:noProof/>
        </w:rPr>
        <w:drawing>
          <wp:inline distT="0" distB="0" distL="0" distR="0" wp14:anchorId="60E2BB04" wp14:editId="18E2B834">
            <wp:extent cx="4135082" cy="1108202"/>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2084" cy="1118119"/>
                    </a:xfrm>
                    <a:prstGeom prst="rect">
                      <a:avLst/>
                    </a:prstGeom>
                    <a:noFill/>
                    <a:ln>
                      <a:noFill/>
                    </a:ln>
                  </pic:spPr>
                </pic:pic>
              </a:graphicData>
            </a:graphic>
          </wp:inline>
        </w:drawing>
      </w:r>
    </w:p>
    <w:p w14:paraId="41C6FD12" w14:textId="4FC376E7" w:rsidR="0089326F" w:rsidRDefault="0089326F" w:rsidP="0089326F">
      <w:pPr>
        <w:pStyle w:val="a3"/>
        <w:ind w:leftChars="0" w:left="1418"/>
        <w:jc w:val="left"/>
        <w:rPr>
          <w:sz w:val="18"/>
          <w:szCs w:val="18"/>
        </w:rPr>
      </w:pPr>
      <w:r w:rsidRPr="0089326F">
        <w:rPr>
          <w:rFonts w:hint="eastAsia"/>
          <w:sz w:val="18"/>
          <w:szCs w:val="18"/>
        </w:rPr>
        <w:t>●北アメリカ</w:t>
      </w:r>
    </w:p>
    <w:p w14:paraId="18B5596E" w14:textId="7BCFAD17" w:rsidR="0089326F" w:rsidRPr="0089326F" w:rsidRDefault="0089326F" w:rsidP="0089326F">
      <w:pPr>
        <w:pStyle w:val="a3"/>
        <w:ind w:leftChars="0" w:left="1418"/>
        <w:jc w:val="left"/>
        <w:rPr>
          <w:sz w:val="18"/>
          <w:szCs w:val="18"/>
        </w:rPr>
      </w:pPr>
      <w:r>
        <w:rPr>
          <w:noProof/>
          <w:sz w:val="18"/>
          <w:szCs w:val="18"/>
        </w:rPr>
        <w:drawing>
          <wp:inline distT="0" distB="0" distL="0" distR="0" wp14:anchorId="4FE9A79F" wp14:editId="29EF38A4">
            <wp:extent cx="4147087" cy="1336826"/>
            <wp:effectExtent l="0" t="0" r="635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446" cy="1366276"/>
                    </a:xfrm>
                    <a:prstGeom prst="rect">
                      <a:avLst/>
                    </a:prstGeom>
                    <a:noFill/>
                    <a:ln>
                      <a:noFill/>
                    </a:ln>
                  </pic:spPr>
                </pic:pic>
              </a:graphicData>
            </a:graphic>
          </wp:inline>
        </w:drawing>
      </w:r>
    </w:p>
    <w:p w14:paraId="78381FF4" w14:textId="1C2EBE6A" w:rsidR="00461EC2" w:rsidRDefault="00461EC2" w:rsidP="00461EC2"/>
    <w:p w14:paraId="484BBC34" w14:textId="38E83AB8" w:rsidR="00461EC2" w:rsidRDefault="00461EC2" w:rsidP="00461EC2">
      <w:r>
        <w:rPr>
          <w:rFonts w:hint="eastAsia"/>
        </w:rPr>
        <w:t>A</w:t>
      </w:r>
      <w:r>
        <w:t>ppendix</w:t>
      </w:r>
    </w:p>
    <w:p w14:paraId="40217FCF" w14:textId="6030EF4E" w:rsidR="00D3613C" w:rsidRDefault="00D3613C" w:rsidP="00461EC2"/>
    <w:p w14:paraId="7D9206C1" w14:textId="77777777" w:rsidR="008D3185" w:rsidRDefault="00D3613C" w:rsidP="008D3185">
      <w:pPr>
        <w:ind w:firstLineChars="100" w:firstLine="210"/>
      </w:pPr>
      <w:r>
        <w:rPr>
          <w:rFonts w:hint="eastAsia"/>
        </w:rPr>
        <w:t>本付録では</w:t>
      </w:r>
      <w:proofErr w:type="spellStart"/>
      <w:r w:rsidR="008D3185">
        <w:rPr>
          <w:rFonts w:hint="eastAsia"/>
        </w:rPr>
        <w:t>Amundi</w:t>
      </w:r>
      <w:proofErr w:type="spellEnd"/>
      <w:r w:rsidR="008D3185">
        <w:t>(2018)</w:t>
      </w:r>
      <w:r w:rsidR="008D3185">
        <w:rPr>
          <w:rFonts w:hint="eastAsia"/>
        </w:rPr>
        <w:t>の分析について，ファクター間の依存性に関する分析のうち，本文では記載していない以下の二つの分析について記載する．</w:t>
      </w:r>
    </w:p>
    <w:p w14:paraId="50596BA3" w14:textId="7B1F5E95" w:rsidR="00D3613C" w:rsidRDefault="008D3185" w:rsidP="008D3185">
      <w:pPr>
        <w:pStyle w:val="a3"/>
        <w:numPr>
          <w:ilvl w:val="1"/>
          <w:numId w:val="2"/>
        </w:numPr>
        <w:ind w:leftChars="0" w:left="709"/>
      </w:pPr>
      <w:r>
        <w:rPr>
          <w:rFonts w:hint="eastAsia"/>
        </w:rPr>
        <w:lastRenderedPageBreak/>
        <w:t>バリュー，モメンタム．低ボラティリティ，クオリティをリスクファクターとした回帰（以下，４Fモデルによる分析と記載）</w:t>
      </w:r>
    </w:p>
    <w:p w14:paraId="4BF64C28" w14:textId="6F972A07" w:rsidR="008D3185" w:rsidRDefault="008D3185" w:rsidP="008D3185">
      <w:pPr>
        <w:pStyle w:val="a3"/>
        <w:numPr>
          <w:ilvl w:val="1"/>
          <w:numId w:val="2"/>
        </w:numPr>
        <w:ind w:leftChars="0" w:left="709"/>
      </w:pPr>
      <w:r>
        <w:rPr>
          <w:rFonts w:hint="eastAsia"/>
        </w:rPr>
        <w:t>第一及び第五分位のポートフォリオ及び上記の各ファクターの超過リターンの時系列に対するクラスタリング分析</w:t>
      </w:r>
    </w:p>
    <w:p w14:paraId="15344921" w14:textId="77777777" w:rsidR="008D3185" w:rsidRDefault="008D3185" w:rsidP="008D3185"/>
    <w:p w14:paraId="5FF3DE6B" w14:textId="211D441D" w:rsidR="001C5FEE" w:rsidRDefault="008D3185" w:rsidP="008D3185">
      <w:pPr>
        <w:pStyle w:val="a3"/>
        <w:numPr>
          <w:ilvl w:val="0"/>
          <w:numId w:val="1"/>
        </w:numPr>
        <w:ind w:leftChars="0"/>
      </w:pPr>
      <w:r>
        <w:rPr>
          <w:rFonts w:hint="eastAsia"/>
        </w:rPr>
        <w:t>４Fモデルによる分析</w:t>
      </w:r>
    </w:p>
    <w:p w14:paraId="7ACAD403" w14:textId="2C4AE2A1" w:rsidR="005264B1" w:rsidRDefault="005264B1" w:rsidP="005264B1">
      <w:pPr>
        <w:pStyle w:val="a3"/>
        <w:ind w:leftChars="0" w:left="420"/>
      </w:pPr>
      <w:r>
        <w:rPr>
          <w:rFonts w:hint="eastAsia"/>
        </w:rPr>
        <w:t>【ユーロ圏】</w:t>
      </w:r>
    </w:p>
    <w:p w14:paraId="12108D2D" w14:textId="31063AC3" w:rsidR="00B34A51" w:rsidRDefault="00B34A51" w:rsidP="00B34A51">
      <w:pPr>
        <w:pStyle w:val="a3"/>
        <w:keepNext/>
        <w:ind w:leftChars="0" w:left="420"/>
      </w:pPr>
      <w:r>
        <w:rPr>
          <w:rFonts w:hint="eastAsia"/>
          <w:noProof/>
        </w:rPr>
        <w:drawing>
          <wp:inline distT="0" distB="0" distL="0" distR="0" wp14:anchorId="19E3BE42" wp14:editId="7E0A6FCA">
            <wp:extent cx="2436126" cy="1364518"/>
            <wp:effectExtent l="0" t="0" r="254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9247" cy="1405474"/>
                    </a:xfrm>
                    <a:prstGeom prst="rect">
                      <a:avLst/>
                    </a:prstGeom>
                    <a:noFill/>
                    <a:ln>
                      <a:noFill/>
                    </a:ln>
                  </pic:spPr>
                </pic:pic>
              </a:graphicData>
            </a:graphic>
          </wp:inline>
        </w:drawing>
      </w:r>
      <w:r>
        <w:rPr>
          <w:rFonts w:hint="eastAsia"/>
          <w:noProof/>
        </w:rPr>
        <w:drawing>
          <wp:inline distT="0" distB="0" distL="0" distR="0" wp14:anchorId="57090A4E" wp14:editId="10DD2669">
            <wp:extent cx="2449583" cy="1368885"/>
            <wp:effectExtent l="0" t="0" r="8255"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483" cy="1378329"/>
                    </a:xfrm>
                    <a:prstGeom prst="rect">
                      <a:avLst/>
                    </a:prstGeom>
                    <a:noFill/>
                    <a:ln>
                      <a:noFill/>
                    </a:ln>
                  </pic:spPr>
                </pic:pic>
              </a:graphicData>
            </a:graphic>
          </wp:inline>
        </w:drawing>
      </w:r>
    </w:p>
    <w:p w14:paraId="2004B311" w14:textId="4293E5F6" w:rsidR="00B34A51" w:rsidRPr="00B34A51" w:rsidRDefault="00B34A51" w:rsidP="00B34A51">
      <w:pPr>
        <w:pStyle w:val="ae"/>
        <w:jc w:val="center"/>
        <w:rPr>
          <w:b w:val="0"/>
          <w:bCs w:val="0"/>
        </w:rPr>
      </w:pPr>
      <w:r w:rsidRPr="00B34A51">
        <w:rPr>
          <w:b w:val="0"/>
          <w:bCs w:val="0"/>
        </w:rPr>
        <w:t xml:space="preserve">図 </w:t>
      </w:r>
      <w:r w:rsidRPr="00B34A51">
        <w:rPr>
          <w:b w:val="0"/>
          <w:bCs w:val="0"/>
        </w:rPr>
        <w:fldChar w:fldCharType="begin"/>
      </w:r>
      <w:r w:rsidRPr="00B34A51">
        <w:rPr>
          <w:b w:val="0"/>
          <w:bCs w:val="0"/>
        </w:rPr>
        <w:instrText xml:space="preserve"> SEQ 図 \* ARABIC </w:instrText>
      </w:r>
      <w:r w:rsidRPr="00B34A51">
        <w:rPr>
          <w:b w:val="0"/>
          <w:bCs w:val="0"/>
        </w:rPr>
        <w:fldChar w:fldCharType="separate"/>
      </w:r>
      <w:r w:rsidR="00677CB2">
        <w:rPr>
          <w:b w:val="0"/>
          <w:bCs w:val="0"/>
          <w:noProof/>
        </w:rPr>
        <w:t>3</w:t>
      </w:r>
      <w:r w:rsidRPr="00B34A51">
        <w:rPr>
          <w:b w:val="0"/>
          <w:bCs w:val="0"/>
        </w:rPr>
        <w:fldChar w:fldCharType="end"/>
      </w:r>
      <w:r w:rsidRPr="00B34A51">
        <w:rPr>
          <w:rFonts w:hint="eastAsia"/>
          <w:b w:val="0"/>
          <w:bCs w:val="0"/>
        </w:rPr>
        <w:t xml:space="preserve">　ESGスコアによるポートフォリオの回帰（左：第一分位，右：第五分位）</w:t>
      </w:r>
    </w:p>
    <w:p w14:paraId="44693D60" w14:textId="58953B51" w:rsidR="001B407A" w:rsidRDefault="001B407A" w:rsidP="001B407A">
      <w:pPr>
        <w:pStyle w:val="a3"/>
        <w:keepNext/>
        <w:ind w:leftChars="0" w:left="420"/>
      </w:pPr>
      <w:r>
        <w:rPr>
          <w:rFonts w:hint="eastAsia"/>
          <w:noProof/>
        </w:rPr>
        <w:drawing>
          <wp:inline distT="0" distB="0" distL="0" distR="0" wp14:anchorId="66BFC502" wp14:editId="3FDC70F3">
            <wp:extent cx="2435860" cy="1327400"/>
            <wp:effectExtent l="0" t="0" r="254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4724" cy="1354028"/>
                    </a:xfrm>
                    <a:prstGeom prst="rect">
                      <a:avLst/>
                    </a:prstGeom>
                    <a:noFill/>
                    <a:ln>
                      <a:noFill/>
                    </a:ln>
                  </pic:spPr>
                </pic:pic>
              </a:graphicData>
            </a:graphic>
          </wp:inline>
        </w:drawing>
      </w:r>
      <w:r>
        <w:rPr>
          <w:rFonts w:hint="eastAsia"/>
          <w:noProof/>
        </w:rPr>
        <w:drawing>
          <wp:inline distT="0" distB="0" distL="0" distR="0" wp14:anchorId="70116D03" wp14:editId="678FFD14">
            <wp:extent cx="2429302" cy="1332971"/>
            <wp:effectExtent l="0" t="0" r="9525"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5920" cy="1446344"/>
                    </a:xfrm>
                    <a:prstGeom prst="rect">
                      <a:avLst/>
                    </a:prstGeom>
                    <a:noFill/>
                    <a:ln>
                      <a:noFill/>
                    </a:ln>
                  </pic:spPr>
                </pic:pic>
              </a:graphicData>
            </a:graphic>
          </wp:inline>
        </w:drawing>
      </w:r>
    </w:p>
    <w:p w14:paraId="236A8EA3" w14:textId="3C48DD43" w:rsidR="001B407A" w:rsidRPr="001B407A" w:rsidRDefault="001B407A" w:rsidP="001B407A">
      <w:pPr>
        <w:pStyle w:val="ae"/>
        <w:jc w:val="center"/>
        <w:rPr>
          <w:b w:val="0"/>
          <w:bCs w:val="0"/>
        </w:rPr>
      </w:pPr>
      <w:r w:rsidRPr="001B407A">
        <w:rPr>
          <w:b w:val="0"/>
          <w:bCs w:val="0"/>
        </w:rPr>
        <w:t xml:space="preserve">図 </w:t>
      </w:r>
      <w:r w:rsidRPr="001B407A">
        <w:rPr>
          <w:b w:val="0"/>
          <w:bCs w:val="0"/>
        </w:rPr>
        <w:fldChar w:fldCharType="begin"/>
      </w:r>
      <w:r w:rsidRPr="001B407A">
        <w:rPr>
          <w:b w:val="0"/>
          <w:bCs w:val="0"/>
        </w:rPr>
        <w:instrText xml:space="preserve"> SEQ 図 \* ARABIC </w:instrText>
      </w:r>
      <w:r w:rsidRPr="001B407A">
        <w:rPr>
          <w:b w:val="0"/>
          <w:bCs w:val="0"/>
        </w:rPr>
        <w:fldChar w:fldCharType="separate"/>
      </w:r>
      <w:r w:rsidR="00677CB2">
        <w:rPr>
          <w:b w:val="0"/>
          <w:bCs w:val="0"/>
          <w:noProof/>
        </w:rPr>
        <w:t>4</w:t>
      </w:r>
      <w:r w:rsidRPr="001B407A">
        <w:rPr>
          <w:b w:val="0"/>
          <w:bCs w:val="0"/>
        </w:rPr>
        <w:fldChar w:fldCharType="end"/>
      </w:r>
      <w:r w:rsidRPr="001B407A">
        <w:rPr>
          <w:rFonts w:hint="eastAsia"/>
          <w:b w:val="0"/>
          <w:bCs w:val="0"/>
        </w:rPr>
        <w:t xml:space="preserve">　</w:t>
      </w:r>
      <w:r>
        <w:rPr>
          <w:rFonts w:hint="eastAsia"/>
          <w:b w:val="0"/>
          <w:bCs w:val="0"/>
        </w:rPr>
        <w:t>E</w:t>
      </w:r>
      <w:r w:rsidRPr="001B407A">
        <w:rPr>
          <w:b w:val="0"/>
          <w:bCs w:val="0"/>
        </w:rPr>
        <w:t>スコアによるポートフォリオの回帰（左：第一分位，右：第五分位）</w:t>
      </w:r>
    </w:p>
    <w:p w14:paraId="252FBE37" w14:textId="0C5D81F8" w:rsidR="001B407A" w:rsidRDefault="001B407A" w:rsidP="001B407A">
      <w:pPr>
        <w:pStyle w:val="a3"/>
        <w:keepNext/>
        <w:ind w:leftChars="0" w:left="420"/>
      </w:pPr>
      <w:r>
        <w:rPr>
          <w:noProof/>
        </w:rPr>
        <w:drawing>
          <wp:inline distT="0" distB="0" distL="0" distR="0" wp14:anchorId="44CCCAD9" wp14:editId="6BF6F780">
            <wp:extent cx="2442950" cy="1395931"/>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8361" cy="1427594"/>
                    </a:xfrm>
                    <a:prstGeom prst="rect">
                      <a:avLst/>
                    </a:prstGeom>
                    <a:noFill/>
                    <a:ln>
                      <a:noFill/>
                    </a:ln>
                  </pic:spPr>
                </pic:pic>
              </a:graphicData>
            </a:graphic>
          </wp:inline>
        </w:drawing>
      </w:r>
      <w:r>
        <w:rPr>
          <w:noProof/>
        </w:rPr>
        <w:drawing>
          <wp:inline distT="0" distB="0" distL="0" distR="0" wp14:anchorId="7A4FBFBC" wp14:editId="320F7A71">
            <wp:extent cx="2490266" cy="1426191"/>
            <wp:effectExtent l="0" t="0" r="5715" b="317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9627" cy="1483096"/>
                    </a:xfrm>
                    <a:prstGeom prst="rect">
                      <a:avLst/>
                    </a:prstGeom>
                    <a:noFill/>
                    <a:ln>
                      <a:noFill/>
                    </a:ln>
                  </pic:spPr>
                </pic:pic>
              </a:graphicData>
            </a:graphic>
          </wp:inline>
        </w:drawing>
      </w:r>
    </w:p>
    <w:p w14:paraId="33A1058B" w14:textId="544DF872" w:rsidR="001B407A" w:rsidRPr="001B407A" w:rsidRDefault="001B407A" w:rsidP="001B407A">
      <w:pPr>
        <w:pStyle w:val="ae"/>
        <w:jc w:val="center"/>
        <w:rPr>
          <w:b w:val="0"/>
          <w:bCs w:val="0"/>
        </w:rPr>
      </w:pPr>
      <w:r w:rsidRPr="001B407A">
        <w:rPr>
          <w:b w:val="0"/>
          <w:bCs w:val="0"/>
        </w:rPr>
        <w:t xml:space="preserve">図 </w:t>
      </w:r>
      <w:r w:rsidRPr="001B407A">
        <w:rPr>
          <w:b w:val="0"/>
          <w:bCs w:val="0"/>
        </w:rPr>
        <w:fldChar w:fldCharType="begin"/>
      </w:r>
      <w:r w:rsidRPr="001B407A">
        <w:rPr>
          <w:b w:val="0"/>
          <w:bCs w:val="0"/>
        </w:rPr>
        <w:instrText xml:space="preserve"> SEQ 図 \* ARABIC </w:instrText>
      </w:r>
      <w:r w:rsidRPr="001B407A">
        <w:rPr>
          <w:b w:val="0"/>
          <w:bCs w:val="0"/>
        </w:rPr>
        <w:fldChar w:fldCharType="separate"/>
      </w:r>
      <w:r w:rsidR="00677CB2">
        <w:rPr>
          <w:b w:val="0"/>
          <w:bCs w:val="0"/>
          <w:noProof/>
        </w:rPr>
        <w:t>5</w:t>
      </w:r>
      <w:r w:rsidRPr="001B407A">
        <w:rPr>
          <w:b w:val="0"/>
          <w:bCs w:val="0"/>
        </w:rPr>
        <w:fldChar w:fldCharType="end"/>
      </w:r>
      <w:r w:rsidRPr="001B407A">
        <w:rPr>
          <w:rFonts w:hint="eastAsia"/>
          <w:b w:val="0"/>
          <w:bCs w:val="0"/>
        </w:rPr>
        <w:t xml:space="preserve">　</w:t>
      </w:r>
      <w:r>
        <w:rPr>
          <w:b w:val="0"/>
          <w:bCs w:val="0"/>
        </w:rPr>
        <w:t>S</w:t>
      </w:r>
      <w:r w:rsidRPr="001B407A">
        <w:rPr>
          <w:b w:val="0"/>
          <w:bCs w:val="0"/>
        </w:rPr>
        <w:t>スコアによるポートフォリオの回帰（左：第一分位，右：第五分位）</w:t>
      </w:r>
    </w:p>
    <w:p w14:paraId="769D655D" w14:textId="742793E0" w:rsidR="001B407A" w:rsidRDefault="001B407A" w:rsidP="001B407A">
      <w:pPr>
        <w:pStyle w:val="a3"/>
        <w:keepNext/>
        <w:ind w:leftChars="0" w:left="420"/>
      </w:pPr>
      <w:r>
        <w:rPr>
          <w:noProof/>
        </w:rPr>
        <w:lastRenderedPageBreak/>
        <w:drawing>
          <wp:inline distT="0" distB="0" distL="0" distR="0" wp14:anchorId="58237A5A" wp14:editId="7FC2D136">
            <wp:extent cx="2457701" cy="1460453"/>
            <wp:effectExtent l="0" t="0" r="0" b="698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1806" cy="1498546"/>
                    </a:xfrm>
                    <a:prstGeom prst="rect">
                      <a:avLst/>
                    </a:prstGeom>
                    <a:noFill/>
                    <a:ln>
                      <a:noFill/>
                    </a:ln>
                  </pic:spPr>
                </pic:pic>
              </a:graphicData>
            </a:graphic>
          </wp:inline>
        </w:drawing>
      </w:r>
      <w:r>
        <w:rPr>
          <w:noProof/>
        </w:rPr>
        <w:drawing>
          <wp:inline distT="0" distB="0" distL="0" distR="0" wp14:anchorId="2D60E998" wp14:editId="79EE3160">
            <wp:extent cx="2485952" cy="1461447"/>
            <wp:effectExtent l="0" t="0" r="0" b="571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8576" cy="1480626"/>
                    </a:xfrm>
                    <a:prstGeom prst="rect">
                      <a:avLst/>
                    </a:prstGeom>
                    <a:noFill/>
                    <a:ln>
                      <a:noFill/>
                    </a:ln>
                  </pic:spPr>
                </pic:pic>
              </a:graphicData>
            </a:graphic>
          </wp:inline>
        </w:drawing>
      </w:r>
    </w:p>
    <w:p w14:paraId="0F4690A8" w14:textId="26D48E07" w:rsidR="001B407A" w:rsidRPr="001B407A" w:rsidRDefault="001B407A" w:rsidP="001B407A">
      <w:pPr>
        <w:pStyle w:val="ae"/>
        <w:jc w:val="center"/>
        <w:rPr>
          <w:b w:val="0"/>
          <w:bCs w:val="0"/>
        </w:rPr>
      </w:pPr>
      <w:r w:rsidRPr="001B407A">
        <w:rPr>
          <w:b w:val="0"/>
          <w:bCs w:val="0"/>
        </w:rPr>
        <w:t xml:space="preserve">図 </w:t>
      </w:r>
      <w:r w:rsidRPr="001B407A">
        <w:rPr>
          <w:b w:val="0"/>
          <w:bCs w:val="0"/>
        </w:rPr>
        <w:fldChar w:fldCharType="begin"/>
      </w:r>
      <w:r w:rsidRPr="001B407A">
        <w:rPr>
          <w:b w:val="0"/>
          <w:bCs w:val="0"/>
        </w:rPr>
        <w:instrText xml:space="preserve"> SEQ 図 \* ARABIC </w:instrText>
      </w:r>
      <w:r w:rsidRPr="001B407A">
        <w:rPr>
          <w:b w:val="0"/>
          <w:bCs w:val="0"/>
        </w:rPr>
        <w:fldChar w:fldCharType="separate"/>
      </w:r>
      <w:r w:rsidR="00677CB2">
        <w:rPr>
          <w:b w:val="0"/>
          <w:bCs w:val="0"/>
          <w:noProof/>
        </w:rPr>
        <w:t>6</w:t>
      </w:r>
      <w:r w:rsidRPr="001B407A">
        <w:rPr>
          <w:b w:val="0"/>
          <w:bCs w:val="0"/>
        </w:rPr>
        <w:fldChar w:fldCharType="end"/>
      </w:r>
      <w:r w:rsidRPr="001B407A">
        <w:rPr>
          <w:b w:val="0"/>
          <w:bCs w:val="0"/>
        </w:rPr>
        <w:t xml:space="preserve"> </w:t>
      </w:r>
      <w:r w:rsidRPr="001B407A">
        <w:rPr>
          <w:rFonts w:hint="eastAsia"/>
          <w:b w:val="0"/>
          <w:bCs w:val="0"/>
        </w:rPr>
        <w:t xml:space="preserve">　</w:t>
      </w:r>
      <w:r w:rsidRPr="001B407A">
        <w:rPr>
          <w:b w:val="0"/>
          <w:bCs w:val="0"/>
        </w:rPr>
        <w:t>Gスコアによるポートフォリオの回帰（左：第一分位，右：第五分位）</w:t>
      </w:r>
    </w:p>
    <w:p w14:paraId="4FE4FD2C" w14:textId="38D165DE" w:rsidR="00BA61F1" w:rsidRDefault="00BA61F1">
      <w:pPr>
        <w:widowControl/>
        <w:jc w:val="left"/>
      </w:pPr>
      <w:r>
        <w:br w:type="page"/>
      </w:r>
    </w:p>
    <w:p w14:paraId="543DD987" w14:textId="77777777" w:rsidR="00B34A51" w:rsidRDefault="00B34A51" w:rsidP="005264B1">
      <w:pPr>
        <w:pStyle w:val="a3"/>
        <w:ind w:leftChars="0" w:left="420"/>
      </w:pPr>
    </w:p>
    <w:p w14:paraId="3A179B97" w14:textId="07F84FE5" w:rsidR="001B407A" w:rsidRDefault="001B407A" w:rsidP="001B407A">
      <w:pPr>
        <w:pStyle w:val="a3"/>
        <w:ind w:leftChars="0" w:left="420"/>
      </w:pPr>
      <w:r>
        <w:rPr>
          <w:rFonts w:hint="eastAsia"/>
        </w:rPr>
        <w:t>【北アメリカ】</w:t>
      </w:r>
    </w:p>
    <w:p w14:paraId="54386BAA" w14:textId="3D30AB24" w:rsidR="001B407A" w:rsidRDefault="001B407A" w:rsidP="001B407A">
      <w:pPr>
        <w:pStyle w:val="a3"/>
        <w:keepNext/>
        <w:ind w:leftChars="0" w:left="420"/>
      </w:pPr>
      <w:r>
        <w:rPr>
          <w:noProof/>
        </w:rPr>
        <w:drawing>
          <wp:inline distT="0" distB="0" distL="0" distR="0" wp14:anchorId="77A2C8D6" wp14:editId="2BDA8AC6">
            <wp:extent cx="2429302" cy="1406708"/>
            <wp:effectExtent l="0" t="0" r="9525"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9459" cy="1441542"/>
                    </a:xfrm>
                    <a:prstGeom prst="rect">
                      <a:avLst/>
                    </a:prstGeom>
                    <a:noFill/>
                    <a:ln>
                      <a:noFill/>
                    </a:ln>
                  </pic:spPr>
                </pic:pic>
              </a:graphicData>
            </a:graphic>
          </wp:inline>
        </w:drawing>
      </w:r>
      <w:r>
        <w:rPr>
          <w:noProof/>
        </w:rPr>
        <w:drawing>
          <wp:inline distT="0" distB="0" distL="0" distR="0" wp14:anchorId="0F22602B" wp14:editId="34D00E2A">
            <wp:extent cx="2483893" cy="1397411"/>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6148" cy="1415557"/>
                    </a:xfrm>
                    <a:prstGeom prst="rect">
                      <a:avLst/>
                    </a:prstGeom>
                    <a:noFill/>
                    <a:ln>
                      <a:noFill/>
                    </a:ln>
                  </pic:spPr>
                </pic:pic>
              </a:graphicData>
            </a:graphic>
          </wp:inline>
        </w:drawing>
      </w:r>
    </w:p>
    <w:p w14:paraId="1387428F" w14:textId="11A38891" w:rsidR="001B407A" w:rsidRPr="001B407A" w:rsidRDefault="001B407A" w:rsidP="001B407A">
      <w:pPr>
        <w:pStyle w:val="ae"/>
        <w:jc w:val="center"/>
        <w:rPr>
          <w:b w:val="0"/>
          <w:bCs w:val="0"/>
        </w:rPr>
      </w:pPr>
      <w:r w:rsidRPr="001B407A">
        <w:rPr>
          <w:b w:val="0"/>
          <w:bCs w:val="0"/>
        </w:rPr>
        <w:t xml:space="preserve">図 </w:t>
      </w:r>
      <w:r w:rsidRPr="001B407A">
        <w:rPr>
          <w:b w:val="0"/>
          <w:bCs w:val="0"/>
        </w:rPr>
        <w:fldChar w:fldCharType="begin"/>
      </w:r>
      <w:r w:rsidRPr="001B407A">
        <w:rPr>
          <w:b w:val="0"/>
          <w:bCs w:val="0"/>
        </w:rPr>
        <w:instrText xml:space="preserve"> SEQ 図 \* ARABIC </w:instrText>
      </w:r>
      <w:r w:rsidRPr="001B407A">
        <w:rPr>
          <w:b w:val="0"/>
          <w:bCs w:val="0"/>
        </w:rPr>
        <w:fldChar w:fldCharType="separate"/>
      </w:r>
      <w:r w:rsidR="00677CB2">
        <w:rPr>
          <w:b w:val="0"/>
          <w:bCs w:val="0"/>
          <w:noProof/>
        </w:rPr>
        <w:t>7</w:t>
      </w:r>
      <w:r w:rsidRPr="001B407A">
        <w:rPr>
          <w:b w:val="0"/>
          <w:bCs w:val="0"/>
        </w:rPr>
        <w:fldChar w:fldCharType="end"/>
      </w:r>
      <w:r w:rsidRPr="001B407A">
        <w:rPr>
          <w:rFonts w:hint="eastAsia"/>
          <w:b w:val="0"/>
          <w:bCs w:val="0"/>
        </w:rPr>
        <w:t xml:space="preserve">　ESG</w:t>
      </w:r>
      <w:r w:rsidRPr="001B407A">
        <w:rPr>
          <w:b w:val="0"/>
          <w:bCs w:val="0"/>
        </w:rPr>
        <w:t>スコアによるポートフォリオの回帰（左：第一分位，右：第五分位）</w:t>
      </w:r>
    </w:p>
    <w:p w14:paraId="59E5367F" w14:textId="2FA1AAD7" w:rsidR="001B407A" w:rsidRDefault="001B407A" w:rsidP="001B407A">
      <w:pPr>
        <w:pStyle w:val="a3"/>
        <w:keepNext/>
        <w:ind w:leftChars="0" w:left="420"/>
      </w:pPr>
      <w:r>
        <w:rPr>
          <w:noProof/>
        </w:rPr>
        <w:drawing>
          <wp:inline distT="0" distB="0" distL="0" distR="0" wp14:anchorId="5C084670" wp14:editId="57EABEF3">
            <wp:extent cx="2463421" cy="14162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0514" cy="1472070"/>
                    </a:xfrm>
                    <a:prstGeom prst="rect">
                      <a:avLst/>
                    </a:prstGeom>
                    <a:noFill/>
                    <a:ln>
                      <a:noFill/>
                    </a:ln>
                  </pic:spPr>
                </pic:pic>
              </a:graphicData>
            </a:graphic>
          </wp:inline>
        </w:drawing>
      </w:r>
      <w:r w:rsidRPr="00285171">
        <w:rPr>
          <w:noProof/>
        </w:rPr>
        <w:drawing>
          <wp:inline distT="0" distB="0" distL="0" distR="0" wp14:anchorId="6823BD2A" wp14:editId="3E1CE3E7">
            <wp:extent cx="2477069" cy="1424094"/>
            <wp:effectExtent l="0" t="0" r="0" b="508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5361" cy="1457607"/>
                    </a:xfrm>
                    <a:prstGeom prst="rect">
                      <a:avLst/>
                    </a:prstGeom>
                    <a:noFill/>
                    <a:ln>
                      <a:noFill/>
                    </a:ln>
                  </pic:spPr>
                </pic:pic>
              </a:graphicData>
            </a:graphic>
          </wp:inline>
        </w:drawing>
      </w:r>
    </w:p>
    <w:p w14:paraId="5C1DB678" w14:textId="208179F1" w:rsidR="001B407A" w:rsidRPr="001B407A" w:rsidRDefault="001B407A" w:rsidP="001B407A">
      <w:pPr>
        <w:pStyle w:val="ae"/>
        <w:jc w:val="center"/>
        <w:rPr>
          <w:b w:val="0"/>
          <w:bCs w:val="0"/>
        </w:rPr>
      </w:pPr>
      <w:r w:rsidRPr="001B407A">
        <w:rPr>
          <w:b w:val="0"/>
          <w:bCs w:val="0"/>
        </w:rPr>
        <w:t xml:space="preserve">図 </w:t>
      </w:r>
      <w:r w:rsidRPr="001B407A">
        <w:rPr>
          <w:b w:val="0"/>
          <w:bCs w:val="0"/>
        </w:rPr>
        <w:fldChar w:fldCharType="begin"/>
      </w:r>
      <w:r w:rsidRPr="001B407A">
        <w:rPr>
          <w:b w:val="0"/>
          <w:bCs w:val="0"/>
        </w:rPr>
        <w:instrText xml:space="preserve"> SEQ 図 \* ARABIC </w:instrText>
      </w:r>
      <w:r w:rsidRPr="001B407A">
        <w:rPr>
          <w:b w:val="0"/>
          <w:bCs w:val="0"/>
        </w:rPr>
        <w:fldChar w:fldCharType="separate"/>
      </w:r>
      <w:r w:rsidR="00677CB2">
        <w:rPr>
          <w:b w:val="0"/>
          <w:bCs w:val="0"/>
          <w:noProof/>
        </w:rPr>
        <w:t>8</w:t>
      </w:r>
      <w:r w:rsidRPr="001B407A">
        <w:rPr>
          <w:b w:val="0"/>
          <w:bCs w:val="0"/>
        </w:rPr>
        <w:fldChar w:fldCharType="end"/>
      </w:r>
      <w:r w:rsidRPr="001B407A">
        <w:rPr>
          <w:rFonts w:hint="eastAsia"/>
          <w:b w:val="0"/>
          <w:bCs w:val="0"/>
        </w:rPr>
        <w:t xml:space="preserve">　</w:t>
      </w:r>
      <w:r w:rsidRPr="001B407A">
        <w:rPr>
          <w:b w:val="0"/>
          <w:bCs w:val="0"/>
        </w:rPr>
        <w:t>Eスコアによるポートフォリオの回帰（左：第一分位，右：第五分位）</w:t>
      </w:r>
    </w:p>
    <w:p w14:paraId="008A33E4" w14:textId="25BDFE5B" w:rsidR="00FF546E" w:rsidRDefault="001B407A" w:rsidP="00FF546E">
      <w:pPr>
        <w:pStyle w:val="a3"/>
        <w:keepNext/>
        <w:ind w:leftChars="0" w:left="420"/>
      </w:pPr>
      <w:r>
        <w:rPr>
          <w:noProof/>
        </w:rPr>
        <w:drawing>
          <wp:inline distT="0" distB="0" distL="0" distR="0" wp14:anchorId="213F210C" wp14:editId="07D5BB02">
            <wp:extent cx="2474529" cy="1413975"/>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5289" cy="1477265"/>
                    </a:xfrm>
                    <a:prstGeom prst="rect">
                      <a:avLst/>
                    </a:prstGeom>
                    <a:noFill/>
                    <a:ln>
                      <a:noFill/>
                    </a:ln>
                  </pic:spPr>
                </pic:pic>
              </a:graphicData>
            </a:graphic>
          </wp:inline>
        </w:drawing>
      </w:r>
      <w:r w:rsidR="00FF546E">
        <w:rPr>
          <w:noProof/>
        </w:rPr>
        <w:drawing>
          <wp:inline distT="0" distB="0" distL="0" distR="0" wp14:anchorId="04D3BFFB" wp14:editId="4A78A845">
            <wp:extent cx="2449366" cy="1402766"/>
            <wp:effectExtent l="0" t="0" r="8255"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8882" cy="1431124"/>
                    </a:xfrm>
                    <a:prstGeom prst="rect">
                      <a:avLst/>
                    </a:prstGeom>
                    <a:noFill/>
                    <a:ln>
                      <a:noFill/>
                    </a:ln>
                  </pic:spPr>
                </pic:pic>
              </a:graphicData>
            </a:graphic>
          </wp:inline>
        </w:drawing>
      </w:r>
    </w:p>
    <w:p w14:paraId="50F5502C" w14:textId="61773975" w:rsidR="00FF546E" w:rsidRPr="00FF546E" w:rsidRDefault="00FF546E" w:rsidP="00FF546E">
      <w:pPr>
        <w:pStyle w:val="ae"/>
        <w:jc w:val="center"/>
        <w:rPr>
          <w:b w:val="0"/>
          <w:bCs w:val="0"/>
        </w:rPr>
      </w:pPr>
      <w:r w:rsidRPr="00FF546E">
        <w:rPr>
          <w:b w:val="0"/>
          <w:bCs w:val="0"/>
        </w:rPr>
        <w:t xml:space="preserve">図 </w:t>
      </w:r>
      <w:r w:rsidRPr="00FF546E">
        <w:rPr>
          <w:b w:val="0"/>
          <w:bCs w:val="0"/>
        </w:rPr>
        <w:fldChar w:fldCharType="begin"/>
      </w:r>
      <w:r w:rsidRPr="00FF546E">
        <w:rPr>
          <w:b w:val="0"/>
          <w:bCs w:val="0"/>
        </w:rPr>
        <w:instrText xml:space="preserve"> SEQ 図 \* ARABIC </w:instrText>
      </w:r>
      <w:r w:rsidRPr="00FF546E">
        <w:rPr>
          <w:b w:val="0"/>
          <w:bCs w:val="0"/>
        </w:rPr>
        <w:fldChar w:fldCharType="separate"/>
      </w:r>
      <w:r w:rsidR="00677CB2">
        <w:rPr>
          <w:b w:val="0"/>
          <w:bCs w:val="0"/>
          <w:noProof/>
        </w:rPr>
        <w:t>9</w:t>
      </w:r>
      <w:r w:rsidRPr="00FF546E">
        <w:rPr>
          <w:b w:val="0"/>
          <w:bCs w:val="0"/>
        </w:rPr>
        <w:fldChar w:fldCharType="end"/>
      </w:r>
      <w:r w:rsidRPr="00FF546E">
        <w:rPr>
          <w:rFonts w:hint="eastAsia"/>
          <w:b w:val="0"/>
          <w:bCs w:val="0"/>
        </w:rPr>
        <w:t xml:space="preserve">　</w:t>
      </w:r>
      <w:r w:rsidRPr="00FF546E">
        <w:rPr>
          <w:b w:val="0"/>
          <w:bCs w:val="0"/>
        </w:rPr>
        <w:t>Sスコアによるポートフォリオの回帰（左：第一分位，右：第五分位）</w:t>
      </w:r>
    </w:p>
    <w:p w14:paraId="7709C4C4" w14:textId="632559F4" w:rsidR="00FF546E" w:rsidRDefault="00FF546E" w:rsidP="00FF546E">
      <w:pPr>
        <w:pStyle w:val="a3"/>
        <w:keepNext/>
        <w:ind w:leftChars="0" w:left="420"/>
      </w:pPr>
      <w:r w:rsidRPr="0019792E">
        <w:rPr>
          <w:noProof/>
        </w:rPr>
        <w:drawing>
          <wp:inline distT="0" distB="0" distL="0" distR="0" wp14:anchorId="43F23DEA" wp14:editId="11B6DF27">
            <wp:extent cx="2469999" cy="1468907"/>
            <wp:effectExtent l="0" t="0" r="698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9602" cy="1510300"/>
                    </a:xfrm>
                    <a:prstGeom prst="rect">
                      <a:avLst/>
                    </a:prstGeom>
                    <a:noFill/>
                    <a:ln>
                      <a:noFill/>
                    </a:ln>
                  </pic:spPr>
                </pic:pic>
              </a:graphicData>
            </a:graphic>
          </wp:inline>
        </w:drawing>
      </w:r>
      <w:r w:rsidRPr="0019792E">
        <w:rPr>
          <w:noProof/>
        </w:rPr>
        <w:drawing>
          <wp:inline distT="0" distB="0" distL="0" distR="0" wp14:anchorId="2AF8C64D" wp14:editId="24DC3797">
            <wp:extent cx="2483893" cy="1460786"/>
            <wp:effectExtent l="0" t="0" r="0" b="635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4957" cy="1484936"/>
                    </a:xfrm>
                    <a:prstGeom prst="rect">
                      <a:avLst/>
                    </a:prstGeom>
                    <a:noFill/>
                    <a:ln>
                      <a:noFill/>
                    </a:ln>
                  </pic:spPr>
                </pic:pic>
              </a:graphicData>
            </a:graphic>
          </wp:inline>
        </w:drawing>
      </w:r>
    </w:p>
    <w:p w14:paraId="4CCE8EFC" w14:textId="56A19CFB" w:rsidR="00BA61F1" w:rsidRDefault="00FF546E" w:rsidP="00FF546E">
      <w:pPr>
        <w:pStyle w:val="ae"/>
        <w:jc w:val="center"/>
        <w:rPr>
          <w:b w:val="0"/>
          <w:bCs w:val="0"/>
        </w:rPr>
      </w:pPr>
      <w:r w:rsidRPr="00FF546E">
        <w:rPr>
          <w:b w:val="0"/>
          <w:bCs w:val="0"/>
        </w:rPr>
        <w:t xml:space="preserve">図 </w:t>
      </w:r>
      <w:r w:rsidRPr="00FF546E">
        <w:rPr>
          <w:b w:val="0"/>
          <w:bCs w:val="0"/>
        </w:rPr>
        <w:fldChar w:fldCharType="begin"/>
      </w:r>
      <w:r w:rsidRPr="00FF546E">
        <w:rPr>
          <w:b w:val="0"/>
          <w:bCs w:val="0"/>
        </w:rPr>
        <w:instrText xml:space="preserve"> SEQ 図 \* ARABIC </w:instrText>
      </w:r>
      <w:r w:rsidRPr="00FF546E">
        <w:rPr>
          <w:b w:val="0"/>
          <w:bCs w:val="0"/>
        </w:rPr>
        <w:fldChar w:fldCharType="separate"/>
      </w:r>
      <w:r w:rsidR="00677CB2">
        <w:rPr>
          <w:b w:val="0"/>
          <w:bCs w:val="0"/>
          <w:noProof/>
        </w:rPr>
        <w:t>10</w:t>
      </w:r>
      <w:r w:rsidRPr="00FF546E">
        <w:rPr>
          <w:b w:val="0"/>
          <w:bCs w:val="0"/>
        </w:rPr>
        <w:fldChar w:fldCharType="end"/>
      </w:r>
      <w:r w:rsidRPr="00FF546E">
        <w:rPr>
          <w:rFonts w:hint="eastAsia"/>
          <w:b w:val="0"/>
          <w:bCs w:val="0"/>
        </w:rPr>
        <w:t xml:space="preserve">　</w:t>
      </w:r>
      <w:r w:rsidRPr="00FF546E">
        <w:rPr>
          <w:b w:val="0"/>
          <w:bCs w:val="0"/>
        </w:rPr>
        <w:t>Gスコアによるポートフォリオの回帰（左：第一分位，右：第五分位）</w:t>
      </w:r>
    </w:p>
    <w:p w14:paraId="2396BA32" w14:textId="77777777" w:rsidR="00BA61F1" w:rsidRDefault="00BA61F1">
      <w:pPr>
        <w:widowControl/>
        <w:jc w:val="left"/>
        <w:rPr>
          <w:szCs w:val="21"/>
        </w:rPr>
      </w:pPr>
      <w:r>
        <w:rPr>
          <w:b/>
          <w:bCs/>
        </w:rPr>
        <w:br w:type="page"/>
      </w:r>
    </w:p>
    <w:p w14:paraId="2DFA67F2" w14:textId="52668A81" w:rsidR="00677CB2" w:rsidRDefault="00B5079D" w:rsidP="00677CB2">
      <w:pPr>
        <w:pStyle w:val="ae"/>
        <w:numPr>
          <w:ilvl w:val="0"/>
          <w:numId w:val="1"/>
        </w:numPr>
        <w:rPr>
          <w:b w:val="0"/>
          <w:bCs w:val="0"/>
        </w:rPr>
      </w:pPr>
      <w:r>
        <w:rPr>
          <w:rFonts w:hint="eastAsia"/>
          <w:b w:val="0"/>
          <w:bCs w:val="0"/>
        </w:rPr>
        <w:lastRenderedPageBreak/>
        <w:t>クラスタリング分析</w:t>
      </w:r>
    </w:p>
    <w:p w14:paraId="42DC4730" w14:textId="507D40EC" w:rsidR="00677CB2" w:rsidRDefault="00677CB2" w:rsidP="00677CB2">
      <w:pPr>
        <w:pStyle w:val="a3"/>
        <w:ind w:leftChars="0" w:left="420"/>
      </w:pPr>
      <w:r>
        <w:rPr>
          <w:rFonts w:hint="eastAsia"/>
        </w:rPr>
        <w:t>【ユーロ圏】</w:t>
      </w:r>
    </w:p>
    <w:p w14:paraId="24ABB5FF" w14:textId="3F994413" w:rsidR="00677CB2" w:rsidRDefault="00677CB2" w:rsidP="00677CB2">
      <w:pPr>
        <w:pStyle w:val="a3"/>
        <w:keepNext/>
        <w:ind w:leftChars="0" w:left="420"/>
      </w:pPr>
      <w:r>
        <w:rPr>
          <w:noProof/>
        </w:rPr>
        <w:drawing>
          <wp:inline distT="0" distB="0" distL="0" distR="0" wp14:anchorId="10916566" wp14:editId="2475D9F7">
            <wp:extent cx="2470245" cy="1361541"/>
            <wp:effectExtent l="0" t="0" r="635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2802" cy="1401533"/>
                    </a:xfrm>
                    <a:prstGeom prst="rect">
                      <a:avLst/>
                    </a:prstGeom>
                    <a:noFill/>
                    <a:ln>
                      <a:noFill/>
                    </a:ln>
                  </pic:spPr>
                </pic:pic>
              </a:graphicData>
            </a:graphic>
          </wp:inline>
        </w:drawing>
      </w:r>
      <w:r>
        <w:rPr>
          <w:noProof/>
        </w:rPr>
        <w:drawing>
          <wp:inline distT="0" distB="0" distL="0" distR="0" wp14:anchorId="75D56A1C" wp14:editId="1754B2E1">
            <wp:extent cx="2522778" cy="1358739"/>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3250" cy="1418238"/>
                    </a:xfrm>
                    <a:prstGeom prst="rect">
                      <a:avLst/>
                    </a:prstGeom>
                    <a:noFill/>
                    <a:ln>
                      <a:noFill/>
                    </a:ln>
                  </pic:spPr>
                </pic:pic>
              </a:graphicData>
            </a:graphic>
          </wp:inline>
        </w:drawing>
      </w:r>
    </w:p>
    <w:p w14:paraId="6A71BD05" w14:textId="6BD5F17B" w:rsidR="00677CB2" w:rsidRPr="00677CB2" w:rsidRDefault="00677CB2" w:rsidP="00677CB2">
      <w:pPr>
        <w:pStyle w:val="ae"/>
        <w:jc w:val="center"/>
        <w:rPr>
          <w:b w:val="0"/>
          <w:bCs w:val="0"/>
        </w:rPr>
      </w:pPr>
      <w:r w:rsidRPr="00677CB2">
        <w:rPr>
          <w:b w:val="0"/>
          <w:bCs w:val="0"/>
        </w:rPr>
        <w:t xml:space="preserve">図 </w:t>
      </w:r>
      <w:r w:rsidRPr="00677CB2">
        <w:rPr>
          <w:b w:val="0"/>
          <w:bCs w:val="0"/>
        </w:rPr>
        <w:fldChar w:fldCharType="begin"/>
      </w:r>
      <w:r w:rsidRPr="00677CB2">
        <w:rPr>
          <w:b w:val="0"/>
          <w:bCs w:val="0"/>
        </w:rPr>
        <w:instrText xml:space="preserve"> SEQ 図 \* ARABIC </w:instrText>
      </w:r>
      <w:r w:rsidRPr="00677CB2">
        <w:rPr>
          <w:b w:val="0"/>
          <w:bCs w:val="0"/>
        </w:rPr>
        <w:fldChar w:fldCharType="separate"/>
      </w:r>
      <w:r>
        <w:rPr>
          <w:b w:val="0"/>
          <w:bCs w:val="0"/>
          <w:noProof/>
        </w:rPr>
        <w:t>11</w:t>
      </w:r>
      <w:r w:rsidRPr="00677CB2">
        <w:rPr>
          <w:b w:val="0"/>
          <w:bCs w:val="0"/>
        </w:rPr>
        <w:fldChar w:fldCharType="end"/>
      </w:r>
      <w:r w:rsidRPr="00677CB2">
        <w:rPr>
          <w:rFonts w:hint="eastAsia"/>
          <w:b w:val="0"/>
          <w:bCs w:val="0"/>
        </w:rPr>
        <w:t xml:space="preserve">　クラスタリング分析の結果（左：第一期間，右：第二期間）</w:t>
      </w:r>
    </w:p>
    <w:p w14:paraId="70308BF1" w14:textId="664FF0B6" w:rsidR="00677CB2" w:rsidRDefault="00677CB2" w:rsidP="00677CB2">
      <w:pPr>
        <w:pStyle w:val="a3"/>
        <w:ind w:leftChars="0" w:left="420"/>
      </w:pPr>
      <w:r>
        <w:rPr>
          <w:rFonts w:hint="eastAsia"/>
        </w:rPr>
        <w:t>【北アメリカ】</w:t>
      </w:r>
    </w:p>
    <w:p w14:paraId="2B7810A0" w14:textId="6B721E83" w:rsidR="00677CB2" w:rsidRDefault="00677CB2" w:rsidP="00677CB2">
      <w:pPr>
        <w:pStyle w:val="a3"/>
        <w:keepNext/>
        <w:ind w:leftChars="0" w:left="420"/>
      </w:pPr>
      <w:r>
        <w:rPr>
          <w:noProof/>
        </w:rPr>
        <w:drawing>
          <wp:inline distT="0" distB="0" distL="0" distR="0" wp14:anchorId="2B639F50" wp14:editId="10C66EE0">
            <wp:extent cx="2539784" cy="1351763"/>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6321" cy="1413788"/>
                    </a:xfrm>
                    <a:prstGeom prst="rect">
                      <a:avLst/>
                    </a:prstGeom>
                    <a:noFill/>
                    <a:ln>
                      <a:noFill/>
                    </a:ln>
                  </pic:spPr>
                </pic:pic>
              </a:graphicData>
            </a:graphic>
          </wp:inline>
        </w:drawing>
      </w:r>
      <w:r>
        <w:rPr>
          <w:rFonts w:hint="eastAsia"/>
          <w:noProof/>
        </w:rPr>
        <w:drawing>
          <wp:inline distT="0" distB="0" distL="0" distR="0" wp14:anchorId="14097F54" wp14:editId="4B66772E">
            <wp:extent cx="2481715" cy="1352389"/>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673" cy="1409585"/>
                    </a:xfrm>
                    <a:prstGeom prst="rect">
                      <a:avLst/>
                    </a:prstGeom>
                    <a:noFill/>
                    <a:ln>
                      <a:noFill/>
                    </a:ln>
                  </pic:spPr>
                </pic:pic>
              </a:graphicData>
            </a:graphic>
          </wp:inline>
        </w:drawing>
      </w:r>
    </w:p>
    <w:p w14:paraId="0208D5F3" w14:textId="694F5D33" w:rsidR="00677CB2" w:rsidRPr="00677CB2" w:rsidRDefault="00677CB2" w:rsidP="00677CB2">
      <w:pPr>
        <w:pStyle w:val="ae"/>
        <w:jc w:val="center"/>
        <w:rPr>
          <w:b w:val="0"/>
          <w:bCs w:val="0"/>
        </w:rPr>
      </w:pPr>
      <w:r w:rsidRPr="00677CB2">
        <w:rPr>
          <w:b w:val="0"/>
          <w:bCs w:val="0"/>
        </w:rPr>
        <w:t xml:space="preserve">図 </w:t>
      </w:r>
      <w:r w:rsidRPr="00677CB2">
        <w:rPr>
          <w:b w:val="0"/>
          <w:bCs w:val="0"/>
        </w:rPr>
        <w:fldChar w:fldCharType="begin"/>
      </w:r>
      <w:r w:rsidRPr="00677CB2">
        <w:rPr>
          <w:b w:val="0"/>
          <w:bCs w:val="0"/>
        </w:rPr>
        <w:instrText xml:space="preserve"> SEQ 図 \* ARABIC </w:instrText>
      </w:r>
      <w:r w:rsidRPr="00677CB2">
        <w:rPr>
          <w:b w:val="0"/>
          <w:bCs w:val="0"/>
        </w:rPr>
        <w:fldChar w:fldCharType="separate"/>
      </w:r>
      <w:r w:rsidRPr="00677CB2">
        <w:rPr>
          <w:b w:val="0"/>
          <w:bCs w:val="0"/>
          <w:noProof/>
        </w:rPr>
        <w:t>12</w:t>
      </w:r>
      <w:r w:rsidRPr="00677CB2">
        <w:rPr>
          <w:b w:val="0"/>
          <w:bCs w:val="0"/>
        </w:rPr>
        <w:fldChar w:fldCharType="end"/>
      </w:r>
      <w:r w:rsidRPr="00677CB2">
        <w:rPr>
          <w:rFonts w:hint="eastAsia"/>
          <w:b w:val="0"/>
          <w:bCs w:val="0"/>
        </w:rPr>
        <w:t xml:space="preserve">　クラスタリング分析の結果（左：第一期間，右：第二期間）</w:t>
      </w:r>
    </w:p>
    <w:sectPr w:rsidR="00677CB2" w:rsidRPr="00677CB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3913D" w14:textId="77777777" w:rsidR="000A5365" w:rsidRDefault="000A5365" w:rsidP="00AF74C4">
      <w:r>
        <w:separator/>
      </w:r>
    </w:p>
  </w:endnote>
  <w:endnote w:type="continuationSeparator" w:id="0">
    <w:p w14:paraId="0F4AB157" w14:textId="77777777" w:rsidR="000A5365" w:rsidRDefault="000A5365" w:rsidP="00AF7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44E81" w14:textId="77777777" w:rsidR="000A5365" w:rsidRDefault="000A5365" w:rsidP="00AF74C4">
      <w:r>
        <w:separator/>
      </w:r>
    </w:p>
  </w:footnote>
  <w:footnote w:type="continuationSeparator" w:id="0">
    <w:p w14:paraId="20D7279E" w14:textId="77777777" w:rsidR="000A5365" w:rsidRDefault="000A5365" w:rsidP="00AF74C4">
      <w:r>
        <w:continuationSeparator/>
      </w:r>
    </w:p>
  </w:footnote>
  <w:footnote w:id="1">
    <w:p w14:paraId="390C3A1A" w14:textId="582A766B" w:rsidR="00D03658" w:rsidRPr="00677CB2" w:rsidRDefault="00D03658">
      <w:pPr>
        <w:pStyle w:val="a6"/>
        <w:rPr>
          <w:sz w:val="18"/>
          <w:szCs w:val="18"/>
        </w:rPr>
      </w:pPr>
      <w:r w:rsidRPr="00677CB2">
        <w:rPr>
          <w:rStyle w:val="a8"/>
          <w:sz w:val="18"/>
          <w:szCs w:val="18"/>
        </w:rPr>
        <w:footnoteRef/>
      </w:r>
      <w:r w:rsidRPr="00677CB2">
        <w:rPr>
          <w:sz w:val="18"/>
          <w:szCs w:val="18"/>
        </w:rPr>
        <w:t xml:space="preserve"> </w:t>
      </w:r>
      <w:r w:rsidRPr="00677CB2">
        <w:rPr>
          <w:rFonts w:hint="eastAsia"/>
          <w:sz w:val="18"/>
          <w:szCs w:val="18"/>
        </w:rPr>
        <w:t>これは以下のような見方によるものである．</w:t>
      </w:r>
    </w:p>
    <w:p w14:paraId="700DDBAF" w14:textId="41311610" w:rsidR="00D03658" w:rsidRPr="00677CB2" w:rsidRDefault="00D03658" w:rsidP="00677CB2">
      <w:pPr>
        <w:pStyle w:val="a6"/>
        <w:numPr>
          <w:ilvl w:val="0"/>
          <w:numId w:val="3"/>
        </w:numPr>
        <w:ind w:left="709"/>
        <w:rPr>
          <w:sz w:val="18"/>
          <w:szCs w:val="18"/>
        </w:rPr>
      </w:pPr>
      <w:r w:rsidRPr="00677CB2">
        <w:rPr>
          <w:rFonts w:hint="eastAsia"/>
          <w:sz w:val="18"/>
          <w:szCs w:val="18"/>
        </w:rPr>
        <w:t>経営も野は株主価値の最大化が唯一の目的であり，社会的活動は政府や自治体が行えばよい．</w:t>
      </w:r>
    </w:p>
    <w:p w14:paraId="1328332A" w14:textId="775DBB06" w:rsidR="00D03658" w:rsidRDefault="00D03658" w:rsidP="00677CB2">
      <w:pPr>
        <w:pStyle w:val="a6"/>
        <w:numPr>
          <w:ilvl w:val="0"/>
          <w:numId w:val="3"/>
        </w:numPr>
        <w:ind w:left="709"/>
      </w:pPr>
      <w:r w:rsidRPr="00677CB2">
        <w:rPr>
          <w:rFonts w:hint="eastAsia"/>
          <w:sz w:val="18"/>
          <w:szCs w:val="18"/>
        </w:rPr>
        <w:t>CSR活動は追加的なコストを要することから企業価値にはマイナスに働き，利益を第一に追求する会社に太刀打ちできず，淘汰される．</w:t>
      </w:r>
    </w:p>
  </w:footnote>
  <w:footnote w:id="2">
    <w:p w14:paraId="45929701" w14:textId="6D91C06B" w:rsidR="00D03658" w:rsidRPr="00D03658" w:rsidRDefault="00D03658">
      <w:pPr>
        <w:pStyle w:val="a6"/>
        <w:rPr>
          <w:sz w:val="18"/>
          <w:szCs w:val="18"/>
        </w:rPr>
      </w:pPr>
      <w:r w:rsidRPr="00D03658">
        <w:rPr>
          <w:rStyle w:val="a8"/>
          <w:sz w:val="18"/>
          <w:szCs w:val="18"/>
        </w:rPr>
        <w:footnoteRef/>
      </w:r>
      <w:r w:rsidRPr="00D03658">
        <w:rPr>
          <w:rFonts w:hint="eastAsia"/>
          <w:sz w:val="18"/>
          <w:szCs w:val="18"/>
        </w:rPr>
        <w:t xml:space="preserve"> </w:t>
      </w:r>
      <w:r w:rsidRPr="00D03658">
        <w:rPr>
          <w:sz w:val="18"/>
          <w:szCs w:val="18"/>
        </w:rPr>
        <w:t>2018</w:t>
      </w:r>
      <w:r w:rsidRPr="00D03658">
        <w:rPr>
          <w:rFonts w:hint="eastAsia"/>
          <w:sz w:val="18"/>
          <w:szCs w:val="18"/>
        </w:rPr>
        <w:t>年1</w:t>
      </w:r>
      <w:r w:rsidRPr="00D03658">
        <w:rPr>
          <w:sz w:val="18"/>
          <w:szCs w:val="18"/>
        </w:rPr>
        <w:t>2</w:t>
      </w:r>
      <w:r w:rsidRPr="00D03658">
        <w:rPr>
          <w:rFonts w:hint="eastAsia"/>
          <w:sz w:val="18"/>
          <w:szCs w:val="18"/>
        </w:rPr>
        <w:t xml:space="preserve">月3日付日本経済新聞「ESG投資，偏重の兆し旗振り役の米年金幹部交代」を参照 </w:t>
      </w:r>
    </w:p>
  </w:footnote>
  <w:footnote w:id="3">
    <w:p w14:paraId="2BCF346C" w14:textId="39EF961C" w:rsidR="008E3BD7" w:rsidRPr="008E3BD7" w:rsidRDefault="008E3BD7">
      <w:pPr>
        <w:pStyle w:val="a6"/>
        <w:rPr>
          <w:sz w:val="18"/>
          <w:szCs w:val="18"/>
        </w:rPr>
      </w:pPr>
      <w:r w:rsidRPr="008E3BD7">
        <w:rPr>
          <w:rStyle w:val="a8"/>
          <w:sz w:val="18"/>
          <w:szCs w:val="18"/>
        </w:rPr>
        <w:footnoteRef/>
      </w:r>
      <w:r w:rsidRPr="008E3BD7">
        <w:rPr>
          <w:sz w:val="18"/>
          <w:szCs w:val="18"/>
        </w:rPr>
        <w:t xml:space="preserve"> </w:t>
      </w:r>
      <w:r w:rsidRPr="008E3BD7">
        <w:rPr>
          <w:rFonts w:hint="eastAsia"/>
          <w:sz w:val="18"/>
          <w:szCs w:val="18"/>
        </w:rPr>
        <w:t>代表的な指数として，MSCI</w:t>
      </w:r>
      <w:r w:rsidRPr="008E3BD7">
        <w:rPr>
          <w:rFonts w:hint="eastAsia"/>
          <w:sz w:val="18"/>
          <w:szCs w:val="18"/>
        </w:rPr>
        <w:t xml:space="preserve">ジャパンESGセレクトリーダーズ指数，MSCI日本株女性活躍指数，FTSE </w:t>
      </w:r>
      <w:r w:rsidRPr="008E3BD7">
        <w:rPr>
          <w:sz w:val="18"/>
          <w:szCs w:val="18"/>
        </w:rPr>
        <w:t>Blossom Japan Index</w:t>
      </w:r>
      <w:r w:rsidRPr="008E3BD7">
        <w:rPr>
          <w:rFonts w:hint="eastAsia"/>
          <w:sz w:val="18"/>
          <w:szCs w:val="18"/>
        </w:rPr>
        <w:t>，S&amp;P/JPXカーボン・エフィシェント指数，S&amp;Pグローバル・カーボン・エフィシェント大中型株指数（除く日本）等がある．</w:t>
      </w:r>
    </w:p>
  </w:footnote>
  <w:footnote w:id="4">
    <w:p w14:paraId="209A513B" w14:textId="70E7F090" w:rsidR="00D03658" w:rsidRPr="00677CB2" w:rsidRDefault="00D03658">
      <w:pPr>
        <w:pStyle w:val="a6"/>
        <w:rPr>
          <w:sz w:val="18"/>
          <w:szCs w:val="18"/>
        </w:rPr>
      </w:pPr>
      <w:r w:rsidRPr="00677CB2">
        <w:rPr>
          <w:rStyle w:val="a8"/>
          <w:sz w:val="18"/>
          <w:szCs w:val="18"/>
        </w:rPr>
        <w:footnoteRef/>
      </w:r>
      <w:r w:rsidRPr="00677CB2">
        <w:rPr>
          <w:sz w:val="18"/>
          <w:szCs w:val="18"/>
        </w:rPr>
        <w:t xml:space="preserve"> </w:t>
      </w:r>
      <w:proofErr w:type="spellStart"/>
      <w:r w:rsidRPr="00677CB2">
        <w:rPr>
          <w:sz w:val="18"/>
          <w:szCs w:val="18"/>
        </w:rPr>
        <w:t>Amundi</w:t>
      </w:r>
      <w:proofErr w:type="spellEnd"/>
      <w:r w:rsidRPr="00677CB2">
        <w:rPr>
          <w:sz w:val="18"/>
          <w:szCs w:val="18"/>
        </w:rPr>
        <w:t>(2018)</w:t>
      </w:r>
      <w:r w:rsidRPr="00677CB2">
        <w:rPr>
          <w:rFonts w:hint="eastAsia"/>
          <w:sz w:val="18"/>
          <w:szCs w:val="18"/>
        </w:rPr>
        <w:t>では日本も対象にしているが，本資料では対象的な結果が出ている北アメリカとユーロ圏を対象とした結果を記載する．</w:t>
      </w:r>
    </w:p>
  </w:footnote>
  <w:footnote w:id="5">
    <w:p w14:paraId="4677B364" w14:textId="55E79AE6" w:rsidR="00D03658" w:rsidRPr="00677CB2" w:rsidRDefault="00D03658">
      <w:pPr>
        <w:pStyle w:val="a6"/>
        <w:rPr>
          <w:sz w:val="18"/>
          <w:szCs w:val="18"/>
        </w:rPr>
      </w:pPr>
      <w:r w:rsidRPr="00677CB2">
        <w:rPr>
          <w:rStyle w:val="a8"/>
          <w:sz w:val="18"/>
          <w:szCs w:val="18"/>
        </w:rPr>
        <w:footnoteRef/>
      </w:r>
      <w:r w:rsidRPr="00677CB2">
        <w:rPr>
          <w:sz w:val="18"/>
          <w:szCs w:val="18"/>
        </w:rPr>
        <w:t xml:space="preserve"> </w:t>
      </w:r>
      <w:r w:rsidRPr="00677CB2">
        <w:rPr>
          <w:rFonts w:hint="eastAsia"/>
          <w:sz w:val="18"/>
          <w:szCs w:val="18"/>
        </w:rPr>
        <w:t>リターンから各国の市場ポートフォリオのリターンを引いた値．</w:t>
      </w:r>
    </w:p>
  </w:footnote>
  <w:footnote w:id="6">
    <w:p w14:paraId="7D1EFA67" w14:textId="659A7C73" w:rsidR="00D03658" w:rsidRPr="00677CB2" w:rsidRDefault="00D03658">
      <w:pPr>
        <w:pStyle w:val="a6"/>
        <w:rPr>
          <w:sz w:val="18"/>
          <w:szCs w:val="18"/>
        </w:rPr>
      </w:pPr>
      <w:r w:rsidRPr="00677CB2">
        <w:rPr>
          <w:rStyle w:val="a8"/>
          <w:sz w:val="18"/>
          <w:szCs w:val="18"/>
        </w:rPr>
        <w:footnoteRef/>
      </w:r>
      <w:r w:rsidRPr="00677CB2">
        <w:rPr>
          <w:sz w:val="18"/>
          <w:szCs w:val="18"/>
        </w:rPr>
        <w:t xml:space="preserve"> </w:t>
      </w:r>
      <w:r w:rsidRPr="00677CB2">
        <w:rPr>
          <w:rFonts w:hint="eastAsia"/>
          <w:sz w:val="18"/>
          <w:szCs w:val="18"/>
        </w:rPr>
        <w:t>群平均法を用いたクラスタリングを実施．</w:t>
      </w:r>
    </w:p>
  </w:footnote>
  <w:footnote w:id="7">
    <w:p w14:paraId="4EFDE797" w14:textId="6325B186" w:rsidR="00D03658" w:rsidRDefault="00D03658">
      <w:pPr>
        <w:pStyle w:val="a6"/>
      </w:pPr>
      <w:r w:rsidRPr="00677CB2">
        <w:rPr>
          <w:rStyle w:val="a8"/>
          <w:sz w:val="18"/>
          <w:szCs w:val="18"/>
        </w:rPr>
        <w:footnoteRef/>
      </w:r>
      <w:r w:rsidRPr="00677CB2">
        <w:rPr>
          <w:sz w:val="18"/>
          <w:szCs w:val="18"/>
        </w:rPr>
        <w:t xml:space="preserve"> </w:t>
      </w:r>
      <w:proofErr w:type="spellStart"/>
      <w:r w:rsidRPr="00677CB2">
        <w:rPr>
          <w:rFonts w:hint="eastAsia"/>
          <w:sz w:val="18"/>
          <w:szCs w:val="18"/>
        </w:rPr>
        <w:t>A</w:t>
      </w:r>
      <w:r w:rsidRPr="00677CB2">
        <w:rPr>
          <w:sz w:val="18"/>
          <w:szCs w:val="18"/>
        </w:rPr>
        <w:t>mundi</w:t>
      </w:r>
      <w:proofErr w:type="spellEnd"/>
      <w:r w:rsidRPr="00677CB2">
        <w:rPr>
          <w:rFonts w:hint="eastAsia"/>
          <w:sz w:val="18"/>
          <w:szCs w:val="18"/>
        </w:rPr>
        <w:t>(</w:t>
      </w:r>
      <w:r w:rsidRPr="00677CB2">
        <w:rPr>
          <w:sz w:val="18"/>
          <w:szCs w:val="18"/>
        </w:rPr>
        <w:t>2018)</w:t>
      </w:r>
      <w:r w:rsidRPr="00677CB2">
        <w:rPr>
          <w:rFonts w:hint="eastAsia"/>
          <w:sz w:val="18"/>
          <w:szCs w:val="18"/>
        </w:rPr>
        <w:t>では，これらの分析に加えて相関関係と因果関係についても検証しているが，特段目立った結果が得られてはいないとしている．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805B9"/>
    <w:multiLevelType w:val="hybridMultilevel"/>
    <w:tmpl w:val="2F50748A"/>
    <w:lvl w:ilvl="0" w:tplc="C30C20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30482D"/>
    <w:multiLevelType w:val="hybridMultilevel"/>
    <w:tmpl w:val="2F4A9964"/>
    <w:lvl w:ilvl="0" w:tplc="5E66F80E">
      <w:numFmt w:val="bullet"/>
      <w:lvlText w:val="・"/>
      <w:lvlJc w:val="left"/>
      <w:pPr>
        <w:ind w:left="1622" w:hanging="420"/>
      </w:pPr>
      <w:rPr>
        <w:rFonts w:ascii="游明朝" w:eastAsia="游明朝" w:hAnsi="游明朝" w:cstheme="minorBidi" w:hint="eastAsia"/>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2" w15:restartNumberingAfterBreak="0">
    <w:nsid w:val="183F697B"/>
    <w:multiLevelType w:val="multilevel"/>
    <w:tmpl w:val="002C0EB4"/>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F71756B"/>
    <w:multiLevelType w:val="hybridMultilevel"/>
    <w:tmpl w:val="D3C6FD0C"/>
    <w:lvl w:ilvl="0" w:tplc="04090013">
      <w:start w:val="1"/>
      <w:numFmt w:val="upperRoman"/>
      <w:lvlText w:val="%1."/>
      <w:lvlJc w:val="left"/>
      <w:pPr>
        <w:ind w:left="1055" w:hanging="420"/>
      </w:pPr>
    </w:lvl>
    <w:lvl w:ilvl="1" w:tplc="04090017" w:tentative="1">
      <w:start w:val="1"/>
      <w:numFmt w:val="aiueoFullWidth"/>
      <w:lvlText w:val="(%2)"/>
      <w:lvlJc w:val="left"/>
      <w:pPr>
        <w:ind w:left="1475" w:hanging="420"/>
      </w:pPr>
    </w:lvl>
    <w:lvl w:ilvl="2" w:tplc="04090011" w:tentative="1">
      <w:start w:val="1"/>
      <w:numFmt w:val="decimalEnclosedCircle"/>
      <w:lvlText w:val="%3"/>
      <w:lvlJc w:val="left"/>
      <w:pPr>
        <w:ind w:left="1895" w:hanging="420"/>
      </w:pPr>
    </w:lvl>
    <w:lvl w:ilvl="3" w:tplc="0409000F" w:tentative="1">
      <w:start w:val="1"/>
      <w:numFmt w:val="decimal"/>
      <w:lvlText w:val="%4."/>
      <w:lvlJc w:val="left"/>
      <w:pPr>
        <w:ind w:left="2315" w:hanging="420"/>
      </w:pPr>
    </w:lvl>
    <w:lvl w:ilvl="4" w:tplc="04090017" w:tentative="1">
      <w:start w:val="1"/>
      <w:numFmt w:val="aiueoFullWidth"/>
      <w:lvlText w:val="(%5)"/>
      <w:lvlJc w:val="left"/>
      <w:pPr>
        <w:ind w:left="2735" w:hanging="420"/>
      </w:pPr>
    </w:lvl>
    <w:lvl w:ilvl="5" w:tplc="04090011" w:tentative="1">
      <w:start w:val="1"/>
      <w:numFmt w:val="decimalEnclosedCircle"/>
      <w:lvlText w:val="%6"/>
      <w:lvlJc w:val="left"/>
      <w:pPr>
        <w:ind w:left="3155" w:hanging="420"/>
      </w:pPr>
    </w:lvl>
    <w:lvl w:ilvl="6" w:tplc="0409000F" w:tentative="1">
      <w:start w:val="1"/>
      <w:numFmt w:val="decimal"/>
      <w:lvlText w:val="%7."/>
      <w:lvlJc w:val="left"/>
      <w:pPr>
        <w:ind w:left="3575" w:hanging="420"/>
      </w:pPr>
    </w:lvl>
    <w:lvl w:ilvl="7" w:tplc="04090017" w:tentative="1">
      <w:start w:val="1"/>
      <w:numFmt w:val="aiueoFullWidth"/>
      <w:lvlText w:val="(%8)"/>
      <w:lvlJc w:val="left"/>
      <w:pPr>
        <w:ind w:left="3995" w:hanging="420"/>
      </w:pPr>
    </w:lvl>
    <w:lvl w:ilvl="8" w:tplc="04090011" w:tentative="1">
      <w:start w:val="1"/>
      <w:numFmt w:val="decimalEnclosedCircle"/>
      <w:lvlText w:val="%9"/>
      <w:lvlJc w:val="left"/>
      <w:pPr>
        <w:ind w:left="4415" w:hanging="420"/>
      </w:pPr>
    </w:lvl>
  </w:abstractNum>
  <w:abstractNum w:abstractNumId="4" w15:restartNumberingAfterBreak="0">
    <w:nsid w:val="2ED43F38"/>
    <w:multiLevelType w:val="hybridMultilevel"/>
    <w:tmpl w:val="EC2CD36E"/>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333A6627"/>
    <w:multiLevelType w:val="hybridMultilevel"/>
    <w:tmpl w:val="15920304"/>
    <w:lvl w:ilvl="0" w:tplc="DD9C5610">
      <w:start w:val="1"/>
      <w:numFmt w:val="lowerLetter"/>
      <w:lvlText w:val="(%1)"/>
      <w:lvlJc w:val="left"/>
      <w:pPr>
        <w:ind w:left="1069" w:hanging="360"/>
      </w:pPr>
      <w:rPr>
        <w:rFonts w:hint="eastAsia"/>
      </w:rPr>
    </w:lvl>
    <w:lvl w:ilvl="1" w:tplc="04090017" w:tentative="1">
      <w:start w:val="1"/>
      <w:numFmt w:val="aiueoFullWidth"/>
      <w:lvlText w:val="(%2)"/>
      <w:lvlJc w:val="left"/>
      <w:pPr>
        <w:ind w:left="1549" w:hanging="420"/>
      </w:pPr>
    </w:lvl>
    <w:lvl w:ilvl="2" w:tplc="04090011" w:tentative="1">
      <w:start w:val="1"/>
      <w:numFmt w:val="decimalEnclosedCircle"/>
      <w:lvlText w:val="%3"/>
      <w:lvlJc w:val="left"/>
      <w:pPr>
        <w:ind w:left="1969" w:hanging="420"/>
      </w:pPr>
    </w:lvl>
    <w:lvl w:ilvl="3" w:tplc="0409000F" w:tentative="1">
      <w:start w:val="1"/>
      <w:numFmt w:val="decimal"/>
      <w:lvlText w:val="%4."/>
      <w:lvlJc w:val="left"/>
      <w:pPr>
        <w:ind w:left="2389" w:hanging="420"/>
      </w:pPr>
    </w:lvl>
    <w:lvl w:ilvl="4" w:tplc="04090017" w:tentative="1">
      <w:start w:val="1"/>
      <w:numFmt w:val="aiueoFullWidth"/>
      <w:lvlText w:val="(%5)"/>
      <w:lvlJc w:val="left"/>
      <w:pPr>
        <w:ind w:left="2809" w:hanging="420"/>
      </w:pPr>
    </w:lvl>
    <w:lvl w:ilvl="5" w:tplc="04090011" w:tentative="1">
      <w:start w:val="1"/>
      <w:numFmt w:val="decimalEnclosedCircle"/>
      <w:lvlText w:val="%6"/>
      <w:lvlJc w:val="left"/>
      <w:pPr>
        <w:ind w:left="3229" w:hanging="420"/>
      </w:pPr>
    </w:lvl>
    <w:lvl w:ilvl="6" w:tplc="0409000F" w:tentative="1">
      <w:start w:val="1"/>
      <w:numFmt w:val="decimal"/>
      <w:lvlText w:val="%7."/>
      <w:lvlJc w:val="left"/>
      <w:pPr>
        <w:ind w:left="3649" w:hanging="420"/>
      </w:pPr>
    </w:lvl>
    <w:lvl w:ilvl="7" w:tplc="04090017" w:tentative="1">
      <w:start w:val="1"/>
      <w:numFmt w:val="aiueoFullWidth"/>
      <w:lvlText w:val="(%8)"/>
      <w:lvlJc w:val="left"/>
      <w:pPr>
        <w:ind w:left="4069" w:hanging="420"/>
      </w:pPr>
    </w:lvl>
    <w:lvl w:ilvl="8" w:tplc="04090011" w:tentative="1">
      <w:start w:val="1"/>
      <w:numFmt w:val="decimalEnclosedCircle"/>
      <w:lvlText w:val="%9"/>
      <w:lvlJc w:val="left"/>
      <w:pPr>
        <w:ind w:left="4489" w:hanging="420"/>
      </w:pPr>
    </w:lvl>
  </w:abstractNum>
  <w:abstractNum w:abstractNumId="6" w15:restartNumberingAfterBreak="0">
    <w:nsid w:val="3F4D350B"/>
    <w:multiLevelType w:val="hybridMultilevel"/>
    <w:tmpl w:val="F54633FC"/>
    <w:lvl w:ilvl="0" w:tplc="47E0E2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0A119DE"/>
    <w:multiLevelType w:val="multilevel"/>
    <w:tmpl w:val="BF326C0C"/>
    <w:lvl w:ilvl="0">
      <w:start w:val="2"/>
      <w:numFmt w:val="decimal"/>
      <w:lvlText w:val="%1."/>
      <w:lvlJc w:val="left"/>
      <w:pPr>
        <w:ind w:left="6305" w:hanging="425"/>
      </w:pPr>
      <w:rPr>
        <w:rFonts w:hint="eastAsia"/>
      </w:rPr>
    </w:lvl>
    <w:lvl w:ilvl="1">
      <w:start w:val="1"/>
      <w:numFmt w:val="decimal"/>
      <w:lvlText w:val="%1.%2."/>
      <w:lvlJc w:val="left"/>
      <w:pPr>
        <w:ind w:left="6447" w:hanging="567"/>
      </w:pPr>
      <w:rPr>
        <w:rFonts w:hint="eastAsia"/>
      </w:rPr>
    </w:lvl>
    <w:lvl w:ilvl="2">
      <w:start w:val="1"/>
      <w:numFmt w:val="decimal"/>
      <w:lvlText w:val="%1.%2.%3."/>
      <w:lvlJc w:val="left"/>
      <w:pPr>
        <w:ind w:left="6589" w:hanging="709"/>
      </w:pPr>
      <w:rPr>
        <w:rFonts w:hint="eastAsia"/>
      </w:rPr>
    </w:lvl>
    <w:lvl w:ilvl="3">
      <w:start w:val="1"/>
      <w:numFmt w:val="decimal"/>
      <w:lvlText w:val="%1.%2.%3.%4."/>
      <w:lvlJc w:val="left"/>
      <w:pPr>
        <w:ind w:left="6731" w:hanging="851"/>
      </w:pPr>
      <w:rPr>
        <w:rFonts w:hint="eastAsia"/>
      </w:rPr>
    </w:lvl>
    <w:lvl w:ilvl="4">
      <w:start w:val="1"/>
      <w:numFmt w:val="decimal"/>
      <w:lvlText w:val="%1.%2.%3.%4.%5."/>
      <w:lvlJc w:val="left"/>
      <w:pPr>
        <w:ind w:left="6872" w:hanging="992"/>
      </w:pPr>
      <w:rPr>
        <w:rFonts w:hint="eastAsia"/>
      </w:rPr>
    </w:lvl>
    <w:lvl w:ilvl="5">
      <w:start w:val="1"/>
      <w:numFmt w:val="decimal"/>
      <w:lvlText w:val="%1.%2.%3.%4.%5.%6."/>
      <w:lvlJc w:val="left"/>
      <w:pPr>
        <w:ind w:left="7014" w:hanging="1134"/>
      </w:pPr>
      <w:rPr>
        <w:rFonts w:hint="eastAsia"/>
      </w:rPr>
    </w:lvl>
    <w:lvl w:ilvl="6">
      <w:start w:val="1"/>
      <w:numFmt w:val="decimal"/>
      <w:lvlText w:val="%1.%2.%3.%4.%5.%6.%7."/>
      <w:lvlJc w:val="left"/>
      <w:pPr>
        <w:ind w:left="7156" w:hanging="1276"/>
      </w:pPr>
      <w:rPr>
        <w:rFonts w:hint="eastAsia"/>
      </w:rPr>
    </w:lvl>
    <w:lvl w:ilvl="7">
      <w:start w:val="1"/>
      <w:numFmt w:val="decimal"/>
      <w:lvlText w:val="%1.%2.%3.%4.%5.%6.%7.%8."/>
      <w:lvlJc w:val="left"/>
      <w:pPr>
        <w:ind w:left="7298" w:hanging="1418"/>
      </w:pPr>
      <w:rPr>
        <w:rFonts w:hint="eastAsia"/>
      </w:rPr>
    </w:lvl>
    <w:lvl w:ilvl="8">
      <w:start w:val="1"/>
      <w:numFmt w:val="decimal"/>
      <w:lvlText w:val="%1.%2.%3.%4.%5.%6.%7.%8.%9."/>
      <w:lvlJc w:val="left"/>
      <w:pPr>
        <w:ind w:left="7439" w:hanging="1559"/>
      </w:pPr>
      <w:rPr>
        <w:rFonts w:hint="eastAsia"/>
      </w:rPr>
    </w:lvl>
  </w:abstractNum>
  <w:abstractNum w:abstractNumId="8" w15:restartNumberingAfterBreak="0">
    <w:nsid w:val="41CC6130"/>
    <w:multiLevelType w:val="hybridMultilevel"/>
    <w:tmpl w:val="A286748E"/>
    <w:lvl w:ilvl="0" w:tplc="B4DCEB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E63CA"/>
    <w:multiLevelType w:val="hybridMultilevel"/>
    <w:tmpl w:val="FA923BE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4AFA14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1A164F9"/>
    <w:multiLevelType w:val="hybridMultilevel"/>
    <w:tmpl w:val="4E8CD154"/>
    <w:lvl w:ilvl="0" w:tplc="04090011">
      <w:start w:val="1"/>
      <w:numFmt w:val="decimalEnclosedCircle"/>
      <w:lvlText w:val="%1"/>
      <w:lvlJc w:val="left"/>
      <w:pPr>
        <w:ind w:left="1050" w:hanging="420"/>
      </w:pPr>
    </w:lvl>
    <w:lvl w:ilvl="1" w:tplc="5E66F80E">
      <w:numFmt w:val="bullet"/>
      <w:lvlText w:val="・"/>
      <w:lvlJc w:val="left"/>
      <w:pPr>
        <w:ind w:left="1410" w:hanging="360"/>
      </w:pPr>
      <w:rPr>
        <w:rFonts w:ascii="游明朝" w:eastAsia="游明朝" w:hAnsi="游明朝" w:cstheme="minorBidi" w:hint="eastAsia"/>
      </w:rPr>
    </w:lvl>
    <w:lvl w:ilvl="2" w:tplc="F9783A86">
      <w:start w:val="1"/>
      <w:numFmt w:val="lowerLetter"/>
      <w:lvlText w:val="(%3)"/>
      <w:lvlJc w:val="left"/>
      <w:pPr>
        <w:ind w:left="1830" w:hanging="360"/>
      </w:pPr>
      <w:rPr>
        <w:rFonts w:hint="eastAsia"/>
      </w:r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2" w15:restartNumberingAfterBreak="0">
    <w:nsid w:val="5F0477B5"/>
    <w:multiLevelType w:val="hybridMultilevel"/>
    <w:tmpl w:val="3B08EE84"/>
    <w:lvl w:ilvl="0" w:tplc="B8DEC7FA">
      <w:start w:val="1"/>
      <w:numFmt w:val="lowerLetter"/>
      <w:lvlText w:val="(%1)"/>
      <w:lvlJc w:val="left"/>
      <w:pPr>
        <w:ind w:left="1137" w:hanging="360"/>
      </w:pPr>
      <w:rPr>
        <w:rFonts w:hint="eastAsia"/>
      </w:rPr>
    </w:lvl>
    <w:lvl w:ilvl="1" w:tplc="04090017" w:tentative="1">
      <w:start w:val="1"/>
      <w:numFmt w:val="aiueoFullWidth"/>
      <w:lvlText w:val="(%2)"/>
      <w:lvlJc w:val="left"/>
      <w:pPr>
        <w:ind w:left="1617" w:hanging="420"/>
      </w:pPr>
    </w:lvl>
    <w:lvl w:ilvl="2" w:tplc="04090011" w:tentative="1">
      <w:start w:val="1"/>
      <w:numFmt w:val="decimalEnclosedCircle"/>
      <w:lvlText w:val="%3"/>
      <w:lvlJc w:val="left"/>
      <w:pPr>
        <w:ind w:left="2037" w:hanging="420"/>
      </w:pPr>
    </w:lvl>
    <w:lvl w:ilvl="3" w:tplc="0409000F" w:tentative="1">
      <w:start w:val="1"/>
      <w:numFmt w:val="decimal"/>
      <w:lvlText w:val="%4."/>
      <w:lvlJc w:val="left"/>
      <w:pPr>
        <w:ind w:left="2457" w:hanging="420"/>
      </w:pPr>
    </w:lvl>
    <w:lvl w:ilvl="4" w:tplc="04090017" w:tentative="1">
      <w:start w:val="1"/>
      <w:numFmt w:val="aiueoFullWidth"/>
      <w:lvlText w:val="(%5)"/>
      <w:lvlJc w:val="left"/>
      <w:pPr>
        <w:ind w:left="2877" w:hanging="420"/>
      </w:pPr>
    </w:lvl>
    <w:lvl w:ilvl="5" w:tplc="04090011" w:tentative="1">
      <w:start w:val="1"/>
      <w:numFmt w:val="decimalEnclosedCircle"/>
      <w:lvlText w:val="%6"/>
      <w:lvlJc w:val="left"/>
      <w:pPr>
        <w:ind w:left="3297" w:hanging="420"/>
      </w:pPr>
    </w:lvl>
    <w:lvl w:ilvl="6" w:tplc="0409000F" w:tentative="1">
      <w:start w:val="1"/>
      <w:numFmt w:val="decimal"/>
      <w:lvlText w:val="%7."/>
      <w:lvlJc w:val="left"/>
      <w:pPr>
        <w:ind w:left="3717" w:hanging="420"/>
      </w:pPr>
    </w:lvl>
    <w:lvl w:ilvl="7" w:tplc="04090017" w:tentative="1">
      <w:start w:val="1"/>
      <w:numFmt w:val="aiueoFullWidth"/>
      <w:lvlText w:val="(%8)"/>
      <w:lvlJc w:val="left"/>
      <w:pPr>
        <w:ind w:left="4137" w:hanging="420"/>
      </w:pPr>
    </w:lvl>
    <w:lvl w:ilvl="8" w:tplc="04090011" w:tentative="1">
      <w:start w:val="1"/>
      <w:numFmt w:val="decimalEnclosedCircle"/>
      <w:lvlText w:val="%9"/>
      <w:lvlJc w:val="left"/>
      <w:pPr>
        <w:ind w:left="4557" w:hanging="420"/>
      </w:pPr>
    </w:lvl>
  </w:abstractNum>
  <w:abstractNum w:abstractNumId="13" w15:restartNumberingAfterBreak="0">
    <w:nsid w:val="5F7B2DE5"/>
    <w:multiLevelType w:val="hybridMultilevel"/>
    <w:tmpl w:val="7528E0D2"/>
    <w:lvl w:ilvl="0" w:tplc="9790F00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8C93732"/>
    <w:multiLevelType w:val="hybridMultilevel"/>
    <w:tmpl w:val="8D44F6D6"/>
    <w:lvl w:ilvl="0" w:tplc="F55663EA">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6C857C25"/>
    <w:multiLevelType w:val="hybridMultilevel"/>
    <w:tmpl w:val="5138504E"/>
    <w:lvl w:ilvl="0" w:tplc="5E66F80E">
      <w:numFmt w:val="bullet"/>
      <w:lvlText w:val="・"/>
      <w:lvlJc w:val="left"/>
      <w:pPr>
        <w:ind w:left="1622" w:hanging="420"/>
      </w:pPr>
      <w:rPr>
        <w:rFonts w:ascii="游明朝" w:eastAsia="游明朝" w:hAnsi="游明朝" w:cstheme="minorBidi" w:hint="eastAsia"/>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16" w15:restartNumberingAfterBreak="0">
    <w:nsid w:val="7AB54B09"/>
    <w:multiLevelType w:val="hybridMultilevel"/>
    <w:tmpl w:val="D7C8A89E"/>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7B885409"/>
    <w:multiLevelType w:val="hybridMultilevel"/>
    <w:tmpl w:val="F13042F0"/>
    <w:lvl w:ilvl="0" w:tplc="B25607C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B8866C5"/>
    <w:multiLevelType w:val="hybridMultilevel"/>
    <w:tmpl w:val="585C373E"/>
    <w:lvl w:ilvl="0" w:tplc="13BC6E5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9"/>
  </w:num>
  <w:num w:numId="2">
    <w:abstractNumId w:val="11"/>
  </w:num>
  <w:num w:numId="3">
    <w:abstractNumId w:val="14"/>
  </w:num>
  <w:num w:numId="4">
    <w:abstractNumId w:val="2"/>
  </w:num>
  <w:num w:numId="5">
    <w:abstractNumId w:val="3"/>
  </w:num>
  <w:num w:numId="6">
    <w:abstractNumId w:val="10"/>
  </w:num>
  <w:num w:numId="7">
    <w:abstractNumId w:val="7"/>
  </w:num>
  <w:num w:numId="8">
    <w:abstractNumId w:val="12"/>
  </w:num>
  <w:num w:numId="9">
    <w:abstractNumId w:val="1"/>
  </w:num>
  <w:num w:numId="10">
    <w:abstractNumId w:val="15"/>
  </w:num>
  <w:num w:numId="11">
    <w:abstractNumId w:val="5"/>
  </w:num>
  <w:num w:numId="12">
    <w:abstractNumId w:val="17"/>
  </w:num>
  <w:num w:numId="13">
    <w:abstractNumId w:val="16"/>
  </w:num>
  <w:num w:numId="14">
    <w:abstractNumId w:val="4"/>
  </w:num>
  <w:num w:numId="15">
    <w:abstractNumId w:val="8"/>
  </w:num>
  <w:num w:numId="16">
    <w:abstractNumId w:val="6"/>
  </w:num>
  <w:num w:numId="17">
    <w:abstractNumId w:val="0"/>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ADF"/>
    <w:rsid w:val="00025805"/>
    <w:rsid w:val="000369B3"/>
    <w:rsid w:val="00057217"/>
    <w:rsid w:val="00060B9C"/>
    <w:rsid w:val="000721C6"/>
    <w:rsid w:val="00072579"/>
    <w:rsid w:val="000A5365"/>
    <w:rsid w:val="000B20C5"/>
    <w:rsid w:val="0014582B"/>
    <w:rsid w:val="00172F4E"/>
    <w:rsid w:val="00183417"/>
    <w:rsid w:val="0019792E"/>
    <w:rsid w:val="00197C59"/>
    <w:rsid w:val="001A00A1"/>
    <w:rsid w:val="001A486C"/>
    <w:rsid w:val="001B407A"/>
    <w:rsid w:val="001C5FEE"/>
    <w:rsid w:val="00203C5C"/>
    <w:rsid w:val="00285171"/>
    <w:rsid w:val="00294ADF"/>
    <w:rsid w:val="00356AC7"/>
    <w:rsid w:val="00357666"/>
    <w:rsid w:val="003730DF"/>
    <w:rsid w:val="003852B2"/>
    <w:rsid w:val="003C7385"/>
    <w:rsid w:val="003F3ED6"/>
    <w:rsid w:val="003F7203"/>
    <w:rsid w:val="004277E0"/>
    <w:rsid w:val="00427A69"/>
    <w:rsid w:val="00453B37"/>
    <w:rsid w:val="00461EC2"/>
    <w:rsid w:val="0046343C"/>
    <w:rsid w:val="004953BA"/>
    <w:rsid w:val="004A2439"/>
    <w:rsid w:val="004A78D0"/>
    <w:rsid w:val="004B143D"/>
    <w:rsid w:val="004F01C3"/>
    <w:rsid w:val="005264B1"/>
    <w:rsid w:val="005436A2"/>
    <w:rsid w:val="00547C6C"/>
    <w:rsid w:val="00566F30"/>
    <w:rsid w:val="005D0B3A"/>
    <w:rsid w:val="00637A02"/>
    <w:rsid w:val="00642DDE"/>
    <w:rsid w:val="00654CD0"/>
    <w:rsid w:val="00677CB2"/>
    <w:rsid w:val="0068334B"/>
    <w:rsid w:val="00683ED5"/>
    <w:rsid w:val="00697094"/>
    <w:rsid w:val="007626A6"/>
    <w:rsid w:val="007D7ACC"/>
    <w:rsid w:val="007F0C04"/>
    <w:rsid w:val="00817094"/>
    <w:rsid w:val="00820EE0"/>
    <w:rsid w:val="0088092C"/>
    <w:rsid w:val="0089326F"/>
    <w:rsid w:val="008D3185"/>
    <w:rsid w:val="008D3AC2"/>
    <w:rsid w:val="008E3BD7"/>
    <w:rsid w:val="0090126F"/>
    <w:rsid w:val="00915D6E"/>
    <w:rsid w:val="009317B1"/>
    <w:rsid w:val="00933B49"/>
    <w:rsid w:val="00934486"/>
    <w:rsid w:val="00952339"/>
    <w:rsid w:val="00960928"/>
    <w:rsid w:val="009A4087"/>
    <w:rsid w:val="009B6D9E"/>
    <w:rsid w:val="00A07F78"/>
    <w:rsid w:val="00A25A8E"/>
    <w:rsid w:val="00A46DA5"/>
    <w:rsid w:val="00A50D4B"/>
    <w:rsid w:val="00A6147A"/>
    <w:rsid w:val="00A86F42"/>
    <w:rsid w:val="00A9431A"/>
    <w:rsid w:val="00AA27B8"/>
    <w:rsid w:val="00AA4082"/>
    <w:rsid w:val="00AA44C0"/>
    <w:rsid w:val="00AA631C"/>
    <w:rsid w:val="00AB1BC1"/>
    <w:rsid w:val="00AD6EDD"/>
    <w:rsid w:val="00AE5DD2"/>
    <w:rsid w:val="00AF74C4"/>
    <w:rsid w:val="00B10D09"/>
    <w:rsid w:val="00B34A51"/>
    <w:rsid w:val="00B5079D"/>
    <w:rsid w:val="00B632AD"/>
    <w:rsid w:val="00B9167D"/>
    <w:rsid w:val="00BA593A"/>
    <w:rsid w:val="00BA61F1"/>
    <w:rsid w:val="00BB4F5D"/>
    <w:rsid w:val="00BB6665"/>
    <w:rsid w:val="00BD3396"/>
    <w:rsid w:val="00BD4F36"/>
    <w:rsid w:val="00C07AE3"/>
    <w:rsid w:val="00C27B78"/>
    <w:rsid w:val="00C40E02"/>
    <w:rsid w:val="00C57DDA"/>
    <w:rsid w:val="00C657B9"/>
    <w:rsid w:val="00C9215E"/>
    <w:rsid w:val="00CB53B1"/>
    <w:rsid w:val="00CC5664"/>
    <w:rsid w:val="00CF1C48"/>
    <w:rsid w:val="00D0044D"/>
    <w:rsid w:val="00D03658"/>
    <w:rsid w:val="00D3613C"/>
    <w:rsid w:val="00D524D1"/>
    <w:rsid w:val="00D527E8"/>
    <w:rsid w:val="00D52C0D"/>
    <w:rsid w:val="00D53DEF"/>
    <w:rsid w:val="00D61915"/>
    <w:rsid w:val="00D72D81"/>
    <w:rsid w:val="00D80C0A"/>
    <w:rsid w:val="00D87052"/>
    <w:rsid w:val="00D904D5"/>
    <w:rsid w:val="00D9114D"/>
    <w:rsid w:val="00DB0967"/>
    <w:rsid w:val="00DD52A0"/>
    <w:rsid w:val="00E226AC"/>
    <w:rsid w:val="00E36274"/>
    <w:rsid w:val="00E42D13"/>
    <w:rsid w:val="00E93A0B"/>
    <w:rsid w:val="00EC4D90"/>
    <w:rsid w:val="00ED3619"/>
    <w:rsid w:val="00EF2BEE"/>
    <w:rsid w:val="00F03B93"/>
    <w:rsid w:val="00F03C0F"/>
    <w:rsid w:val="00F113F2"/>
    <w:rsid w:val="00F144CC"/>
    <w:rsid w:val="00F33C38"/>
    <w:rsid w:val="00F51D29"/>
    <w:rsid w:val="00F561B6"/>
    <w:rsid w:val="00F57C40"/>
    <w:rsid w:val="00F77B85"/>
    <w:rsid w:val="00F876F3"/>
    <w:rsid w:val="00FA6FEE"/>
    <w:rsid w:val="00FB2439"/>
    <w:rsid w:val="00FC2633"/>
    <w:rsid w:val="00FC757A"/>
    <w:rsid w:val="00FF54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9F1CDF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32A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7B85"/>
    <w:pPr>
      <w:ind w:leftChars="400" w:left="840"/>
    </w:pPr>
  </w:style>
  <w:style w:type="character" w:styleId="a4">
    <w:name w:val="Placeholder Text"/>
    <w:basedOn w:val="a0"/>
    <w:uiPriority w:val="99"/>
    <w:semiHidden/>
    <w:rsid w:val="00D72D81"/>
    <w:rPr>
      <w:color w:val="808080"/>
    </w:rPr>
  </w:style>
  <w:style w:type="table" w:styleId="a5">
    <w:name w:val="Table Grid"/>
    <w:basedOn w:val="a1"/>
    <w:uiPriority w:val="39"/>
    <w:rsid w:val="00D7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a7"/>
    <w:uiPriority w:val="99"/>
    <w:semiHidden/>
    <w:unhideWhenUsed/>
    <w:rsid w:val="00AF74C4"/>
    <w:pPr>
      <w:snapToGrid w:val="0"/>
      <w:jc w:val="left"/>
    </w:pPr>
  </w:style>
  <w:style w:type="character" w:customStyle="1" w:styleId="a7">
    <w:name w:val="脚注文字列 (文字)"/>
    <w:basedOn w:val="a0"/>
    <w:link w:val="a6"/>
    <w:uiPriority w:val="99"/>
    <w:semiHidden/>
    <w:rsid w:val="00AF74C4"/>
  </w:style>
  <w:style w:type="character" w:styleId="a8">
    <w:name w:val="footnote reference"/>
    <w:basedOn w:val="a0"/>
    <w:uiPriority w:val="99"/>
    <w:semiHidden/>
    <w:unhideWhenUsed/>
    <w:rsid w:val="00AF74C4"/>
    <w:rPr>
      <w:vertAlign w:val="superscript"/>
    </w:rPr>
  </w:style>
  <w:style w:type="character" w:styleId="a9">
    <w:name w:val="annotation reference"/>
    <w:basedOn w:val="a0"/>
    <w:uiPriority w:val="99"/>
    <w:semiHidden/>
    <w:unhideWhenUsed/>
    <w:rsid w:val="00F03B93"/>
    <w:rPr>
      <w:sz w:val="18"/>
      <w:szCs w:val="18"/>
    </w:rPr>
  </w:style>
  <w:style w:type="paragraph" w:styleId="aa">
    <w:name w:val="annotation text"/>
    <w:basedOn w:val="a"/>
    <w:link w:val="ab"/>
    <w:uiPriority w:val="99"/>
    <w:semiHidden/>
    <w:unhideWhenUsed/>
    <w:rsid w:val="00F03B93"/>
    <w:pPr>
      <w:jc w:val="left"/>
    </w:pPr>
  </w:style>
  <w:style w:type="character" w:customStyle="1" w:styleId="ab">
    <w:name w:val="コメント文字列 (文字)"/>
    <w:basedOn w:val="a0"/>
    <w:link w:val="aa"/>
    <w:uiPriority w:val="99"/>
    <w:semiHidden/>
    <w:rsid w:val="00F03B93"/>
  </w:style>
  <w:style w:type="paragraph" w:styleId="ac">
    <w:name w:val="annotation subject"/>
    <w:basedOn w:val="aa"/>
    <w:next w:val="aa"/>
    <w:link w:val="ad"/>
    <w:uiPriority w:val="99"/>
    <w:semiHidden/>
    <w:unhideWhenUsed/>
    <w:rsid w:val="00F03B93"/>
    <w:rPr>
      <w:b/>
      <w:bCs/>
    </w:rPr>
  </w:style>
  <w:style w:type="character" w:customStyle="1" w:styleId="ad">
    <w:name w:val="コメント内容 (文字)"/>
    <w:basedOn w:val="ab"/>
    <w:link w:val="ac"/>
    <w:uiPriority w:val="99"/>
    <w:semiHidden/>
    <w:rsid w:val="00F03B93"/>
    <w:rPr>
      <w:b/>
      <w:bCs/>
    </w:rPr>
  </w:style>
  <w:style w:type="paragraph" w:styleId="ae">
    <w:name w:val="caption"/>
    <w:basedOn w:val="a"/>
    <w:next w:val="a"/>
    <w:uiPriority w:val="35"/>
    <w:unhideWhenUsed/>
    <w:qFormat/>
    <w:rsid w:val="00D9114D"/>
    <w:rPr>
      <w:b/>
      <w:bCs/>
      <w:szCs w:val="21"/>
    </w:rPr>
  </w:style>
  <w:style w:type="paragraph" w:styleId="af">
    <w:name w:val="header"/>
    <w:basedOn w:val="a"/>
    <w:link w:val="af0"/>
    <w:uiPriority w:val="99"/>
    <w:unhideWhenUsed/>
    <w:rsid w:val="00F876F3"/>
    <w:pPr>
      <w:tabs>
        <w:tab w:val="center" w:pos="4252"/>
        <w:tab w:val="right" w:pos="8504"/>
      </w:tabs>
      <w:snapToGrid w:val="0"/>
    </w:pPr>
  </w:style>
  <w:style w:type="character" w:customStyle="1" w:styleId="af0">
    <w:name w:val="ヘッダー (文字)"/>
    <w:basedOn w:val="a0"/>
    <w:link w:val="af"/>
    <w:uiPriority w:val="99"/>
    <w:rsid w:val="00F876F3"/>
  </w:style>
  <w:style w:type="paragraph" w:styleId="af1">
    <w:name w:val="footer"/>
    <w:basedOn w:val="a"/>
    <w:link w:val="af2"/>
    <w:uiPriority w:val="99"/>
    <w:unhideWhenUsed/>
    <w:rsid w:val="00F876F3"/>
    <w:pPr>
      <w:tabs>
        <w:tab w:val="center" w:pos="4252"/>
        <w:tab w:val="right" w:pos="8504"/>
      </w:tabs>
      <w:snapToGrid w:val="0"/>
    </w:pPr>
  </w:style>
  <w:style w:type="character" w:customStyle="1" w:styleId="af2">
    <w:name w:val="フッター (文字)"/>
    <w:basedOn w:val="a0"/>
    <w:link w:val="af1"/>
    <w:uiPriority w:val="99"/>
    <w:rsid w:val="00F87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942</Words>
  <Characters>5375</Characters>
  <Application>Microsoft Office Word</Application>
  <DocSecurity>0</DocSecurity>
  <Lines>44</Lines>
  <Paragraphs>12</Paragraphs>
  <ScaleCrop>false</ScaleCrop>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2021-02-24T00:19:00Z</dcterms:created>
  <dcterms:modified xsi:type="dcterms:W3CDTF">2021-02-24T00:20:00Z</dcterms:modified>
</cp:coreProperties>
</file>