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53F05C" w14:textId="6DE07EBA" w:rsidR="00933B49" w:rsidRDefault="007C7327">
      <w:pPr>
        <w:rPr>
          <w:u w:val="single"/>
        </w:rPr>
      </w:pPr>
      <w:r w:rsidRPr="007C7327">
        <w:rPr>
          <w:u w:val="single"/>
        </w:rPr>
        <w:t>3.2.3 Fama-French</w:t>
      </w:r>
      <w:r w:rsidRPr="007C7327">
        <w:rPr>
          <w:rFonts w:hint="eastAsia"/>
          <w:u w:val="single"/>
        </w:rPr>
        <w:t>のクロスセクション回帰モデル</w:t>
      </w:r>
    </w:p>
    <w:p w14:paraId="2889405B" w14:textId="0CBA2206" w:rsidR="007C7327" w:rsidRDefault="007C7327" w:rsidP="00BE576A"/>
    <w:p w14:paraId="68D3FA6D" w14:textId="02F45D8B" w:rsidR="008B3A04" w:rsidRDefault="008B3A04" w:rsidP="008B3A04">
      <w:pPr>
        <w:pStyle w:val="a3"/>
        <w:numPr>
          <w:ilvl w:val="0"/>
          <w:numId w:val="1"/>
        </w:numPr>
        <w:ind w:leftChars="0"/>
      </w:pPr>
      <w:r>
        <w:rPr>
          <w:rFonts w:hint="eastAsia"/>
        </w:rPr>
        <w:t>CAPMが主張する</w:t>
      </w:r>
      <m:oMath>
        <m:r>
          <w:rPr>
            <w:rFonts w:ascii="Cambria Math" w:hAnsi="Cambria Math"/>
          </w:rPr>
          <m:t>β</m:t>
        </m:r>
      </m:oMath>
      <w:r>
        <w:rPr>
          <w:rFonts w:hint="eastAsia"/>
        </w:rPr>
        <w:t>はクロスセクションの期待収益率に関する説明力はないが、株式時価総額と株式資本株価比率は説明力がある。</w:t>
      </w:r>
    </w:p>
    <w:p w14:paraId="73B55863" w14:textId="753FA78E" w:rsidR="008B3A04" w:rsidRDefault="008B3A04" w:rsidP="008B3A04">
      <w:pPr>
        <w:pStyle w:val="a3"/>
        <w:numPr>
          <w:ilvl w:val="0"/>
          <w:numId w:val="1"/>
        </w:numPr>
        <w:ind w:leftChars="0"/>
      </w:pPr>
      <w:r>
        <w:rPr>
          <w:rFonts w:hint="eastAsia"/>
        </w:rPr>
        <w:t>株式時価総額と株式資本株価比率は従来説明力があると考えられてきた財務レバレッジや1株当たりの利益の効果を吸収する。</w:t>
      </w:r>
    </w:p>
    <w:p w14:paraId="260BF3FD" w14:textId="1B028BA3" w:rsidR="008A7890" w:rsidRDefault="008A7890" w:rsidP="004546A2"/>
    <w:p w14:paraId="7833784B" w14:textId="75D1C813" w:rsidR="004546A2" w:rsidRDefault="004546A2" w:rsidP="004546A2">
      <w:pPr>
        <w:rPr>
          <w:u w:val="single"/>
        </w:rPr>
      </w:pPr>
      <w:r w:rsidRPr="004546A2">
        <w:rPr>
          <w:rFonts w:hint="eastAsia"/>
          <w:u w:val="single"/>
        </w:rPr>
        <w:t>3.3</w:t>
      </w:r>
      <w:r w:rsidRPr="004546A2">
        <w:rPr>
          <w:u w:val="single"/>
        </w:rPr>
        <w:t xml:space="preserve"> </w:t>
      </w:r>
      <w:r w:rsidRPr="004546A2">
        <w:rPr>
          <w:rFonts w:hint="eastAsia"/>
          <w:u w:val="single"/>
        </w:rPr>
        <w:t>クロスセクション回帰モデルの具体例</w:t>
      </w:r>
    </w:p>
    <w:p w14:paraId="0BF56A54" w14:textId="77777777" w:rsidR="00E2165C" w:rsidRDefault="00E2165C" w:rsidP="004546A2">
      <w:pPr>
        <w:rPr>
          <w:u w:val="single"/>
        </w:rPr>
      </w:pPr>
    </w:p>
    <w:p w14:paraId="4AF1298F" w14:textId="491BAAFE" w:rsidR="00914206" w:rsidRPr="00E2165C" w:rsidRDefault="00914206" w:rsidP="004546A2">
      <w:pPr>
        <w:rPr>
          <w:b/>
          <w:bCs/>
        </w:rPr>
      </w:pPr>
      <w:r w:rsidRPr="00E2165C">
        <w:rPr>
          <w:b/>
          <w:bCs/>
        </w:rPr>
        <w:t xml:space="preserve">a. </w:t>
      </w:r>
      <w:r w:rsidRPr="00E2165C">
        <w:rPr>
          <w:rFonts w:hint="eastAsia"/>
          <w:b/>
          <w:bCs/>
        </w:rPr>
        <w:t>データ</w:t>
      </w:r>
    </w:p>
    <w:p w14:paraId="457BB0FC" w14:textId="46893741" w:rsidR="00914206" w:rsidRDefault="00914206" w:rsidP="00914206">
      <w:pPr>
        <w:pStyle w:val="a3"/>
        <w:numPr>
          <w:ilvl w:val="0"/>
          <w:numId w:val="4"/>
        </w:numPr>
        <w:ind w:leftChars="0"/>
      </w:pPr>
      <w:r>
        <w:rPr>
          <w:rFonts w:hint="eastAsia"/>
        </w:rPr>
        <w:t>金融を除く一部上場銘柄（異常値を除外して1998年6月末で579銘柄、2008年6月末で834銘柄）</w:t>
      </w:r>
    </w:p>
    <w:p w14:paraId="67725E67" w14:textId="395EF882" w:rsidR="00914206" w:rsidRDefault="00914206" w:rsidP="00914206">
      <w:pPr>
        <w:pStyle w:val="a3"/>
        <w:numPr>
          <w:ilvl w:val="0"/>
          <w:numId w:val="4"/>
        </w:numPr>
        <w:ind w:leftChars="0"/>
      </w:pPr>
      <w:r>
        <w:rPr>
          <w:rFonts w:hint="eastAsia"/>
        </w:rPr>
        <w:t>毎年6月末を基準日として、そこから1年間の配当込みリターンを被説明変数とする。</w:t>
      </w:r>
    </w:p>
    <w:p w14:paraId="0B706EDE" w14:textId="5A242489" w:rsidR="00914206" w:rsidRDefault="00914206" w:rsidP="00914206">
      <w:pPr>
        <w:pStyle w:val="a3"/>
        <w:numPr>
          <w:ilvl w:val="0"/>
          <w:numId w:val="4"/>
        </w:numPr>
        <w:ind w:leftChars="0"/>
      </w:pPr>
      <w:r>
        <w:rPr>
          <w:rFonts w:hint="eastAsia"/>
        </w:rPr>
        <w:t>3月末までの直近決算データで計算した銘柄属性データを説明変数。</w:t>
      </w:r>
    </w:p>
    <w:p w14:paraId="379A9262" w14:textId="77777777" w:rsidR="00914206" w:rsidRDefault="00914206" w:rsidP="00914206">
      <w:pPr>
        <w:pStyle w:val="a3"/>
        <w:ind w:leftChars="0" w:left="420"/>
      </w:pPr>
    </w:p>
    <w:p w14:paraId="61D05CE6" w14:textId="10FD2293" w:rsidR="00914206" w:rsidRPr="00E2165C" w:rsidRDefault="00914206" w:rsidP="00914206">
      <w:pPr>
        <w:rPr>
          <w:b/>
          <w:bCs/>
        </w:rPr>
      </w:pPr>
      <w:r w:rsidRPr="00E2165C">
        <w:rPr>
          <w:rFonts w:hint="eastAsia"/>
          <w:b/>
          <w:bCs/>
        </w:rPr>
        <w:t>b</w:t>
      </w:r>
      <w:r w:rsidRPr="00E2165C">
        <w:rPr>
          <w:b/>
          <w:bCs/>
        </w:rPr>
        <w:t xml:space="preserve">. </w:t>
      </w:r>
      <w:r w:rsidRPr="00E2165C">
        <w:rPr>
          <w:rFonts w:hint="eastAsia"/>
          <w:b/>
          <w:bCs/>
        </w:rPr>
        <w:t>説明変数</w:t>
      </w:r>
    </w:p>
    <w:p w14:paraId="471F5798" w14:textId="24811A8C" w:rsidR="00914206" w:rsidRDefault="00914206" w:rsidP="00914206">
      <m:oMath>
        <m:r>
          <w:rPr>
            <w:rFonts w:ascii="Cambria Math" w:hAnsi="Cambria Math"/>
          </w:rPr>
          <m:t>β</m:t>
        </m:r>
      </m:oMath>
      <w:r>
        <w:rPr>
          <w:rFonts w:hint="eastAsia"/>
        </w:rPr>
        <w:t>ファクター、時価総額ファクター、割安/成長ファクター、残差ファクター、研究開発ファクター</w:t>
      </w:r>
    </w:p>
    <w:p w14:paraId="07E42223" w14:textId="55FE51CF" w:rsidR="00914206" w:rsidRDefault="00914206" w:rsidP="00914206"/>
    <w:p w14:paraId="18955BC7" w14:textId="2329641B" w:rsidR="00914206" w:rsidRPr="00E2165C" w:rsidRDefault="00914206" w:rsidP="00914206">
      <w:pPr>
        <w:rPr>
          <w:b/>
          <w:bCs/>
        </w:rPr>
      </w:pPr>
      <w:r w:rsidRPr="00E2165C">
        <w:rPr>
          <w:rFonts w:hint="eastAsia"/>
          <w:b/>
          <w:bCs/>
        </w:rPr>
        <w:t>c</w:t>
      </w:r>
      <w:r w:rsidRPr="00E2165C">
        <w:rPr>
          <w:b/>
          <w:bCs/>
        </w:rPr>
        <w:t>.</w:t>
      </w:r>
      <w:r w:rsidRPr="00E2165C">
        <w:rPr>
          <w:rFonts w:hint="eastAsia"/>
          <w:b/>
          <w:bCs/>
        </w:rPr>
        <w:t>モデル</w:t>
      </w:r>
    </w:p>
    <w:p w14:paraId="05F22858" w14:textId="5B5FBA34" w:rsidR="00914206" w:rsidRDefault="00914206" w:rsidP="00914206">
      <w:r>
        <w:rPr>
          <w:rFonts w:hint="eastAsia"/>
        </w:rPr>
        <w:t>・</w:t>
      </w:r>
      <w:r w:rsidR="00E2165C">
        <w:rPr>
          <w:rFonts w:hint="eastAsia"/>
        </w:rPr>
        <w:t>モデル1</w:t>
      </w:r>
    </w:p>
    <w:p w14:paraId="0277402D" w14:textId="61B92291" w:rsidR="00E2165C" w:rsidRPr="00E2165C" w:rsidRDefault="00A77CCF" w:rsidP="00914206">
      <m:oMathPara>
        <m:oMath>
          <m:sSub>
            <m:sSubPr>
              <m:ctrlPr>
                <w:rPr>
                  <w:rFonts w:ascii="Cambria Math" w:hAnsi="Cambria Math"/>
                  <w:i/>
                </w:rPr>
              </m:ctrlPr>
            </m:sSubPr>
            <m:e>
              <m:r>
                <w:rPr>
                  <w:rFonts w:ascii="Cambria Math" w:hAnsi="Cambria Math"/>
                </w:rPr>
                <m:t>R</m:t>
              </m:r>
            </m:e>
            <m:sub>
              <m:r>
                <w:rPr>
                  <w:rFonts w:ascii="Cambria Math" w:hAnsi="Cambria Math"/>
                </w:rPr>
                <m:t>t+1</m:t>
              </m:r>
            </m:sub>
          </m:sSub>
          <m:d>
            <m:dPr>
              <m:ctrlPr>
                <w:rPr>
                  <w:rFonts w:ascii="Cambria Math" w:hAnsi="Cambria Math"/>
                  <w:i/>
                </w:rPr>
              </m:ctrlPr>
            </m:dPr>
            <m:e>
              <m:r>
                <w:rPr>
                  <w:rFonts w:ascii="Cambria Math" w:hAnsi="Cambria Math"/>
                </w:rPr>
                <m:t>i</m:t>
              </m:r>
            </m:e>
          </m:d>
          <m:r>
            <w:rPr>
              <w:rFonts w:ascii="Cambria Math" w:hAnsi="Cambria Math"/>
            </w:rPr>
            <m:t>=α+</m:t>
          </m:r>
          <m:sSup>
            <m:sSupPr>
              <m:ctrlPr>
                <w:rPr>
                  <w:rFonts w:ascii="Cambria Math" w:hAnsi="Cambria Math"/>
                  <w:i/>
                </w:rPr>
              </m:ctrlPr>
            </m:sSupPr>
            <m:e>
              <m:r>
                <w:rPr>
                  <w:rFonts w:ascii="Cambria Math" w:hAnsi="Cambria Math"/>
                </w:rPr>
                <m:t>β</m:t>
              </m:r>
            </m:e>
            <m:sup>
              <m:r>
                <w:rPr>
                  <w:rFonts w:ascii="Cambria Math" w:hAnsi="Cambria Math"/>
                </w:rPr>
                <m:t>BETA</m:t>
              </m:r>
            </m:sup>
          </m:sSup>
          <m:r>
            <w:rPr>
              <w:rFonts w:ascii="Cambria Math" w:hAnsi="Cambria Math"/>
            </w:rPr>
            <m:t>BET</m:t>
          </m:r>
          <m:sSub>
            <m:sSubPr>
              <m:ctrlPr>
                <w:rPr>
                  <w:rFonts w:ascii="Cambria Math" w:hAnsi="Cambria Math"/>
                  <w:i/>
                </w:rPr>
              </m:ctrlPr>
            </m:sSubPr>
            <m:e>
              <m:r>
                <w:rPr>
                  <w:rFonts w:ascii="Cambria Math" w:hAnsi="Cambria Math"/>
                </w:rPr>
                <m:t>A</m:t>
              </m:r>
            </m:e>
            <m:sub>
              <m:r>
                <w:rPr>
                  <w:rFonts w:ascii="Cambria Math" w:hAnsi="Cambria Math"/>
                </w:rPr>
                <m:t>t</m:t>
              </m:r>
            </m:sub>
          </m:sSub>
          <m:d>
            <m:dPr>
              <m:ctrlPr>
                <w:rPr>
                  <w:rFonts w:ascii="Cambria Math" w:hAnsi="Cambria Math"/>
                  <w:i/>
                </w:rPr>
              </m:ctrlPr>
            </m:dPr>
            <m:e>
              <m:r>
                <w:rPr>
                  <w:rFonts w:ascii="Cambria Math" w:hAnsi="Cambria Math"/>
                </w:rPr>
                <m:t>i</m:t>
              </m:r>
            </m:e>
          </m:d>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MKV</m:t>
              </m:r>
            </m:sup>
          </m:sSup>
          <m:r>
            <w:rPr>
              <w:rFonts w:ascii="Cambria Math" w:hAnsi="Cambria Math"/>
            </w:rPr>
            <m:t>MK</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i</m:t>
              </m:r>
            </m:e>
          </m:d>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BPR</m:t>
              </m:r>
            </m:sup>
          </m:sSup>
          <m:r>
            <w:rPr>
              <w:rFonts w:ascii="Cambria Math" w:hAnsi="Cambria Math"/>
            </w:rPr>
            <m:t>BP</m:t>
          </m:r>
          <m:sSub>
            <m:sSubPr>
              <m:ctrlPr>
                <w:rPr>
                  <w:rFonts w:ascii="Cambria Math" w:hAnsi="Cambria Math"/>
                  <w:i/>
                </w:rPr>
              </m:ctrlPr>
            </m:sSubPr>
            <m:e>
              <m:r>
                <w:rPr>
                  <w:rFonts w:ascii="Cambria Math" w:hAnsi="Cambria Math"/>
                </w:rPr>
                <m:t>R</m:t>
              </m:r>
            </m:e>
            <m:sub>
              <m:r>
                <w:rPr>
                  <w:rFonts w:ascii="Cambria Math" w:hAnsi="Cambria Math"/>
                </w:rPr>
                <m:t>t</m:t>
              </m:r>
            </m:sub>
          </m:sSub>
          <m:d>
            <m:dPr>
              <m:ctrlPr>
                <w:rPr>
                  <w:rFonts w:ascii="Cambria Math" w:hAnsi="Cambria Math"/>
                  <w:i/>
                </w:rPr>
              </m:ctrlPr>
            </m:dPr>
            <m:e>
              <m:r>
                <w:rPr>
                  <w:rFonts w:ascii="Cambria Math" w:hAnsi="Cambria Math"/>
                </w:rPr>
                <m:t>i</m:t>
              </m:r>
            </m:e>
          </m:d>
        </m:oMath>
      </m:oMathPara>
    </w:p>
    <w:p w14:paraId="519D67EC" w14:textId="71487782" w:rsidR="00E2165C" w:rsidRPr="00914206" w:rsidRDefault="00E2165C" w:rsidP="00914206">
      <w:r>
        <w:rPr>
          <w:rFonts w:hint="eastAsia"/>
        </w:rPr>
        <w:t>・モデル2</w:t>
      </w:r>
    </w:p>
    <w:p w14:paraId="5D033E27" w14:textId="6ACE49BB" w:rsidR="00E2165C" w:rsidRPr="00E2165C" w:rsidRDefault="00A77CCF" w:rsidP="00E2165C">
      <m:oMathPara>
        <m:oMath>
          <m:sSub>
            <m:sSubPr>
              <m:ctrlPr>
                <w:rPr>
                  <w:rFonts w:ascii="Cambria Math" w:hAnsi="Cambria Math"/>
                  <w:i/>
                </w:rPr>
              </m:ctrlPr>
            </m:sSubPr>
            <m:e>
              <m:r>
                <w:rPr>
                  <w:rFonts w:ascii="Cambria Math" w:hAnsi="Cambria Math"/>
                </w:rPr>
                <m:t>R</m:t>
              </m:r>
            </m:e>
            <m:sub>
              <m:r>
                <w:rPr>
                  <w:rFonts w:ascii="Cambria Math" w:hAnsi="Cambria Math"/>
                </w:rPr>
                <m:t>t+1</m:t>
              </m:r>
            </m:sub>
          </m:sSub>
          <m:d>
            <m:dPr>
              <m:ctrlPr>
                <w:rPr>
                  <w:rFonts w:ascii="Cambria Math" w:hAnsi="Cambria Math"/>
                  <w:i/>
                </w:rPr>
              </m:ctrlPr>
            </m:dPr>
            <m:e>
              <m:r>
                <w:rPr>
                  <w:rFonts w:ascii="Cambria Math" w:hAnsi="Cambria Math"/>
                </w:rPr>
                <m:t>i</m:t>
              </m:r>
            </m:e>
          </m:d>
          <m:r>
            <w:rPr>
              <w:rFonts w:ascii="Cambria Math" w:hAnsi="Cambria Math"/>
            </w:rPr>
            <m:t>=α+</m:t>
          </m:r>
          <m:sSup>
            <m:sSupPr>
              <m:ctrlPr>
                <w:rPr>
                  <w:rFonts w:ascii="Cambria Math" w:hAnsi="Cambria Math"/>
                  <w:i/>
                </w:rPr>
              </m:ctrlPr>
            </m:sSupPr>
            <m:e>
              <m:r>
                <w:rPr>
                  <w:rFonts w:ascii="Cambria Math" w:hAnsi="Cambria Math"/>
                </w:rPr>
                <m:t>β</m:t>
              </m:r>
            </m:e>
            <m:sup>
              <m:r>
                <w:rPr>
                  <w:rFonts w:ascii="Cambria Math" w:hAnsi="Cambria Math"/>
                </w:rPr>
                <m:t>BETA</m:t>
              </m:r>
            </m:sup>
          </m:sSup>
          <m:r>
            <w:rPr>
              <w:rFonts w:ascii="Cambria Math" w:hAnsi="Cambria Math"/>
            </w:rPr>
            <m:t>BET</m:t>
          </m:r>
          <m:sSub>
            <m:sSubPr>
              <m:ctrlPr>
                <w:rPr>
                  <w:rFonts w:ascii="Cambria Math" w:hAnsi="Cambria Math"/>
                  <w:i/>
                </w:rPr>
              </m:ctrlPr>
            </m:sSubPr>
            <m:e>
              <m:r>
                <w:rPr>
                  <w:rFonts w:ascii="Cambria Math" w:hAnsi="Cambria Math"/>
                </w:rPr>
                <m:t>A</m:t>
              </m:r>
            </m:e>
            <m:sub>
              <m:r>
                <w:rPr>
                  <w:rFonts w:ascii="Cambria Math" w:hAnsi="Cambria Math"/>
                </w:rPr>
                <m:t>t</m:t>
              </m:r>
            </m:sub>
          </m:sSub>
          <m:d>
            <m:dPr>
              <m:ctrlPr>
                <w:rPr>
                  <w:rFonts w:ascii="Cambria Math" w:hAnsi="Cambria Math"/>
                  <w:i/>
                </w:rPr>
              </m:ctrlPr>
            </m:dPr>
            <m:e>
              <m:r>
                <w:rPr>
                  <w:rFonts w:ascii="Cambria Math" w:hAnsi="Cambria Math"/>
                </w:rPr>
                <m:t>i</m:t>
              </m:r>
            </m:e>
          </m:d>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MKV</m:t>
              </m:r>
            </m:sup>
          </m:sSup>
          <m:r>
            <w:rPr>
              <w:rFonts w:ascii="Cambria Math" w:hAnsi="Cambria Math"/>
            </w:rPr>
            <m:t>MK</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i</m:t>
              </m:r>
            </m:e>
          </m:d>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BPR</m:t>
              </m:r>
            </m:sup>
          </m:sSup>
          <m:r>
            <w:rPr>
              <w:rFonts w:ascii="Cambria Math" w:hAnsi="Cambria Math"/>
            </w:rPr>
            <m:t>BP</m:t>
          </m:r>
          <m:sSub>
            <m:sSubPr>
              <m:ctrlPr>
                <w:rPr>
                  <w:rFonts w:ascii="Cambria Math" w:hAnsi="Cambria Math"/>
                  <w:i/>
                </w:rPr>
              </m:ctrlPr>
            </m:sSubPr>
            <m:e>
              <m:r>
                <w:rPr>
                  <w:rFonts w:ascii="Cambria Math" w:hAnsi="Cambria Math"/>
                </w:rPr>
                <m:t>R</m:t>
              </m:r>
            </m:e>
            <m:sub>
              <m:r>
                <w:rPr>
                  <w:rFonts w:ascii="Cambria Math" w:hAnsi="Cambria Math"/>
                </w:rPr>
                <m:t>t</m:t>
              </m:r>
            </m:sub>
          </m:sSub>
          <m:d>
            <m:dPr>
              <m:ctrlPr>
                <w:rPr>
                  <w:rFonts w:ascii="Cambria Math" w:hAnsi="Cambria Math"/>
                  <w:i/>
                </w:rPr>
              </m:ctrlPr>
            </m:dPr>
            <m:e>
              <m:r>
                <w:rPr>
                  <w:rFonts w:ascii="Cambria Math" w:hAnsi="Cambria Math"/>
                </w:rPr>
                <m:t>i</m:t>
              </m:r>
            </m:e>
          </m:d>
          <m:r>
            <w:rPr>
              <w:rFonts w:ascii="Cambria Math" w:hAnsi="Cambria Math"/>
            </w:rPr>
            <m:t>+</m:t>
          </m:r>
          <m:sSup>
            <m:sSupPr>
              <m:ctrlPr>
                <w:rPr>
                  <w:rFonts w:ascii="Cambria Math" w:hAnsi="Cambria Math"/>
                  <w:i/>
                  <w:color w:val="FF0000"/>
                </w:rPr>
              </m:ctrlPr>
            </m:sSupPr>
            <m:e>
              <m:r>
                <w:rPr>
                  <w:rFonts w:ascii="Cambria Math" w:hAnsi="Cambria Math"/>
                  <w:color w:val="FF0000"/>
                </w:rPr>
                <m:t>β</m:t>
              </m:r>
            </m:e>
            <m:sup>
              <m:r>
                <w:rPr>
                  <w:rFonts w:ascii="Cambria Math" w:hAnsi="Cambria Math"/>
                  <w:color w:val="FF0000"/>
                </w:rPr>
                <m:t>RES</m:t>
              </m:r>
            </m:sup>
          </m:sSup>
          <m:r>
            <w:rPr>
              <w:rFonts w:ascii="Cambria Math" w:hAnsi="Cambria Math"/>
              <w:color w:val="FF0000"/>
            </w:rPr>
            <m:t>RE</m:t>
          </m:r>
          <m:sSub>
            <m:sSubPr>
              <m:ctrlPr>
                <w:rPr>
                  <w:rFonts w:ascii="Cambria Math" w:hAnsi="Cambria Math"/>
                  <w:i/>
                  <w:color w:val="FF0000"/>
                </w:rPr>
              </m:ctrlPr>
            </m:sSubPr>
            <m:e>
              <m:r>
                <w:rPr>
                  <w:rFonts w:ascii="Cambria Math" w:hAnsi="Cambria Math"/>
                  <w:color w:val="FF0000"/>
                </w:rPr>
                <m:t>S</m:t>
              </m:r>
            </m:e>
            <m:sub>
              <m:r>
                <w:rPr>
                  <w:rFonts w:ascii="Cambria Math" w:hAnsi="Cambria Math"/>
                  <w:color w:val="FF0000"/>
                </w:rPr>
                <m:t>t</m:t>
              </m:r>
            </m:sub>
          </m:sSub>
          <m:d>
            <m:dPr>
              <m:ctrlPr>
                <w:rPr>
                  <w:rFonts w:ascii="Cambria Math" w:hAnsi="Cambria Math"/>
                  <w:i/>
                  <w:color w:val="FF0000"/>
                </w:rPr>
              </m:ctrlPr>
            </m:dPr>
            <m:e>
              <m:r>
                <w:rPr>
                  <w:rFonts w:ascii="Cambria Math" w:hAnsi="Cambria Math"/>
                  <w:color w:val="FF0000"/>
                </w:rPr>
                <m:t>i</m:t>
              </m:r>
            </m:e>
          </m:d>
        </m:oMath>
      </m:oMathPara>
    </w:p>
    <w:p w14:paraId="607458F9" w14:textId="7AB9C088" w:rsidR="00E2165C" w:rsidRPr="00914206" w:rsidRDefault="00E2165C" w:rsidP="00E2165C">
      <w:r>
        <w:rPr>
          <w:rFonts w:hint="eastAsia"/>
        </w:rPr>
        <w:t>・モデル3</w:t>
      </w:r>
    </w:p>
    <w:p w14:paraId="6541DE34" w14:textId="1EC746E4" w:rsidR="00E2165C" w:rsidRPr="00E2165C" w:rsidRDefault="00A77CCF" w:rsidP="00E2165C">
      <m:oMathPara>
        <m:oMath>
          <m:sSub>
            <m:sSubPr>
              <m:ctrlPr>
                <w:rPr>
                  <w:rFonts w:ascii="Cambria Math" w:hAnsi="Cambria Math"/>
                  <w:i/>
                </w:rPr>
              </m:ctrlPr>
            </m:sSubPr>
            <m:e>
              <m:r>
                <w:rPr>
                  <w:rFonts w:ascii="Cambria Math" w:hAnsi="Cambria Math"/>
                </w:rPr>
                <m:t>R</m:t>
              </m:r>
            </m:e>
            <m:sub>
              <m:r>
                <w:rPr>
                  <w:rFonts w:ascii="Cambria Math" w:hAnsi="Cambria Math"/>
                </w:rPr>
                <m:t>t+1</m:t>
              </m:r>
            </m:sub>
          </m:sSub>
          <m:d>
            <m:dPr>
              <m:ctrlPr>
                <w:rPr>
                  <w:rFonts w:ascii="Cambria Math" w:hAnsi="Cambria Math"/>
                  <w:i/>
                </w:rPr>
              </m:ctrlPr>
            </m:dPr>
            <m:e>
              <m:r>
                <w:rPr>
                  <w:rFonts w:ascii="Cambria Math" w:hAnsi="Cambria Math"/>
                </w:rPr>
                <m:t>i</m:t>
              </m:r>
            </m:e>
          </m:d>
          <m:r>
            <w:rPr>
              <w:rFonts w:ascii="Cambria Math" w:hAnsi="Cambria Math"/>
            </w:rPr>
            <m:t>=α+</m:t>
          </m:r>
          <m:sSup>
            <m:sSupPr>
              <m:ctrlPr>
                <w:rPr>
                  <w:rFonts w:ascii="Cambria Math" w:hAnsi="Cambria Math"/>
                  <w:i/>
                </w:rPr>
              </m:ctrlPr>
            </m:sSupPr>
            <m:e>
              <m:r>
                <w:rPr>
                  <w:rFonts w:ascii="Cambria Math" w:hAnsi="Cambria Math"/>
                </w:rPr>
                <m:t>β</m:t>
              </m:r>
            </m:e>
            <m:sup>
              <m:r>
                <w:rPr>
                  <w:rFonts w:ascii="Cambria Math" w:hAnsi="Cambria Math"/>
                </w:rPr>
                <m:t>BETA</m:t>
              </m:r>
            </m:sup>
          </m:sSup>
          <m:r>
            <w:rPr>
              <w:rFonts w:ascii="Cambria Math" w:hAnsi="Cambria Math"/>
            </w:rPr>
            <m:t>BET</m:t>
          </m:r>
          <m:sSub>
            <m:sSubPr>
              <m:ctrlPr>
                <w:rPr>
                  <w:rFonts w:ascii="Cambria Math" w:hAnsi="Cambria Math"/>
                  <w:i/>
                </w:rPr>
              </m:ctrlPr>
            </m:sSubPr>
            <m:e>
              <m:r>
                <w:rPr>
                  <w:rFonts w:ascii="Cambria Math" w:hAnsi="Cambria Math"/>
                </w:rPr>
                <m:t>A</m:t>
              </m:r>
            </m:e>
            <m:sub>
              <m:r>
                <w:rPr>
                  <w:rFonts w:ascii="Cambria Math" w:hAnsi="Cambria Math"/>
                </w:rPr>
                <m:t>t</m:t>
              </m:r>
            </m:sub>
          </m:sSub>
          <m:d>
            <m:dPr>
              <m:ctrlPr>
                <w:rPr>
                  <w:rFonts w:ascii="Cambria Math" w:hAnsi="Cambria Math"/>
                  <w:i/>
                </w:rPr>
              </m:ctrlPr>
            </m:dPr>
            <m:e>
              <m:r>
                <w:rPr>
                  <w:rFonts w:ascii="Cambria Math" w:hAnsi="Cambria Math"/>
                </w:rPr>
                <m:t>i</m:t>
              </m:r>
            </m:e>
          </m:d>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MKV</m:t>
              </m:r>
            </m:sup>
          </m:sSup>
          <m:r>
            <w:rPr>
              <w:rFonts w:ascii="Cambria Math" w:hAnsi="Cambria Math"/>
            </w:rPr>
            <m:t>MK</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i</m:t>
              </m:r>
            </m:e>
          </m:d>
          <m:r>
            <w:rPr>
              <w:rFonts w:ascii="Cambria Math" w:hAnsi="Cambria Math"/>
            </w:rPr>
            <m:t>+</m:t>
          </m:r>
          <m:sSup>
            <m:sSupPr>
              <m:ctrlPr>
                <w:rPr>
                  <w:rFonts w:ascii="Cambria Math" w:hAnsi="Cambria Math"/>
                  <w:i/>
                  <w:color w:val="FF0000"/>
                </w:rPr>
              </m:ctrlPr>
            </m:sSupPr>
            <m:e>
              <m:r>
                <w:rPr>
                  <w:rFonts w:ascii="Cambria Math" w:hAnsi="Cambria Math"/>
                  <w:color w:val="FF0000"/>
                </w:rPr>
                <m:t>β</m:t>
              </m:r>
            </m:e>
            <m:sup>
              <m:r>
                <w:rPr>
                  <w:rFonts w:ascii="Cambria Math" w:hAnsi="Cambria Math"/>
                  <w:color w:val="FF0000"/>
                </w:rPr>
                <m:t>RD</m:t>
              </m:r>
            </m:sup>
          </m:sSup>
          <m:sSub>
            <m:sSubPr>
              <m:ctrlPr>
                <w:rPr>
                  <w:rFonts w:ascii="Cambria Math" w:hAnsi="Cambria Math"/>
                  <w:i/>
                  <w:color w:val="FF0000"/>
                </w:rPr>
              </m:ctrlPr>
            </m:sSubPr>
            <m:e>
              <m:r>
                <w:rPr>
                  <w:rFonts w:ascii="Cambria Math" w:hAnsi="Cambria Math"/>
                  <w:color w:val="FF0000"/>
                </w:rPr>
                <m:t>RD</m:t>
              </m:r>
            </m:e>
            <m:sub>
              <m:r>
                <w:rPr>
                  <w:rFonts w:ascii="Cambria Math" w:hAnsi="Cambria Math"/>
                  <w:color w:val="FF0000"/>
                </w:rPr>
                <m:t>t</m:t>
              </m:r>
            </m:sub>
          </m:sSub>
          <m:d>
            <m:dPr>
              <m:ctrlPr>
                <w:rPr>
                  <w:rFonts w:ascii="Cambria Math" w:hAnsi="Cambria Math"/>
                  <w:i/>
                  <w:color w:val="FF0000"/>
                </w:rPr>
              </m:ctrlPr>
            </m:dPr>
            <m:e>
              <m:r>
                <w:rPr>
                  <w:rFonts w:ascii="Cambria Math" w:hAnsi="Cambria Math"/>
                  <w:color w:val="FF0000"/>
                </w:rPr>
                <m:t>i</m:t>
              </m:r>
            </m:e>
          </m:d>
        </m:oMath>
      </m:oMathPara>
    </w:p>
    <w:p w14:paraId="2AF64C74" w14:textId="4DDFF0A1" w:rsidR="00E2165C" w:rsidRDefault="00E2165C" w:rsidP="00E2165C">
      <w:r>
        <w:rPr>
          <w:rFonts w:hint="eastAsia"/>
        </w:rPr>
        <w:t>・モデル</w:t>
      </w:r>
      <w:r>
        <w:t>4</w:t>
      </w:r>
    </w:p>
    <w:p w14:paraId="67BC7E2B" w14:textId="77777777" w:rsidR="00E2165C" w:rsidRPr="00E2165C" w:rsidRDefault="00A77CCF" w:rsidP="00E2165C">
      <m:oMathPara>
        <m:oMath>
          <m:sSub>
            <m:sSubPr>
              <m:ctrlPr>
                <w:rPr>
                  <w:rFonts w:ascii="Cambria Math" w:hAnsi="Cambria Math"/>
                  <w:i/>
                </w:rPr>
              </m:ctrlPr>
            </m:sSubPr>
            <m:e>
              <m:r>
                <w:rPr>
                  <w:rFonts w:ascii="Cambria Math" w:hAnsi="Cambria Math"/>
                </w:rPr>
                <m:t>R</m:t>
              </m:r>
            </m:e>
            <m:sub>
              <m:r>
                <w:rPr>
                  <w:rFonts w:ascii="Cambria Math" w:hAnsi="Cambria Math"/>
                </w:rPr>
                <m:t>t+1</m:t>
              </m:r>
            </m:sub>
          </m:sSub>
          <m:d>
            <m:dPr>
              <m:ctrlPr>
                <w:rPr>
                  <w:rFonts w:ascii="Cambria Math" w:hAnsi="Cambria Math"/>
                  <w:i/>
                </w:rPr>
              </m:ctrlPr>
            </m:dPr>
            <m:e>
              <m:r>
                <w:rPr>
                  <w:rFonts w:ascii="Cambria Math" w:hAnsi="Cambria Math"/>
                </w:rPr>
                <m:t>i</m:t>
              </m:r>
            </m:e>
          </m:d>
          <m:r>
            <w:rPr>
              <w:rFonts w:ascii="Cambria Math" w:hAnsi="Cambria Math"/>
            </w:rPr>
            <m:t>=α+</m:t>
          </m:r>
          <m:sSup>
            <m:sSupPr>
              <m:ctrlPr>
                <w:rPr>
                  <w:rFonts w:ascii="Cambria Math" w:hAnsi="Cambria Math"/>
                  <w:i/>
                </w:rPr>
              </m:ctrlPr>
            </m:sSupPr>
            <m:e>
              <m:r>
                <w:rPr>
                  <w:rFonts w:ascii="Cambria Math" w:hAnsi="Cambria Math"/>
                </w:rPr>
                <m:t>β</m:t>
              </m:r>
            </m:e>
            <m:sup>
              <m:r>
                <w:rPr>
                  <w:rFonts w:ascii="Cambria Math" w:hAnsi="Cambria Math"/>
                </w:rPr>
                <m:t>BETA</m:t>
              </m:r>
            </m:sup>
          </m:sSup>
          <m:r>
            <w:rPr>
              <w:rFonts w:ascii="Cambria Math" w:hAnsi="Cambria Math"/>
            </w:rPr>
            <m:t>BET</m:t>
          </m:r>
          <m:sSub>
            <m:sSubPr>
              <m:ctrlPr>
                <w:rPr>
                  <w:rFonts w:ascii="Cambria Math" w:hAnsi="Cambria Math"/>
                  <w:i/>
                </w:rPr>
              </m:ctrlPr>
            </m:sSubPr>
            <m:e>
              <m:r>
                <w:rPr>
                  <w:rFonts w:ascii="Cambria Math" w:hAnsi="Cambria Math"/>
                </w:rPr>
                <m:t>A</m:t>
              </m:r>
            </m:e>
            <m:sub>
              <m:r>
                <w:rPr>
                  <w:rFonts w:ascii="Cambria Math" w:hAnsi="Cambria Math"/>
                </w:rPr>
                <m:t>t</m:t>
              </m:r>
            </m:sub>
          </m:sSub>
          <m:d>
            <m:dPr>
              <m:ctrlPr>
                <w:rPr>
                  <w:rFonts w:ascii="Cambria Math" w:hAnsi="Cambria Math"/>
                  <w:i/>
                </w:rPr>
              </m:ctrlPr>
            </m:dPr>
            <m:e>
              <m:r>
                <w:rPr>
                  <w:rFonts w:ascii="Cambria Math" w:hAnsi="Cambria Math"/>
                </w:rPr>
                <m:t>i</m:t>
              </m:r>
            </m:e>
          </m:d>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MKV</m:t>
              </m:r>
            </m:sup>
          </m:sSup>
          <m:r>
            <w:rPr>
              <w:rFonts w:ascii="Cambria Math" w:hAnsi="Cambria Math"/>
            </w:rPr>
            <m:t>MK</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i</m:t>
              </m:r>
            </m:e>
          </m:d>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BPR</m:t>
              </m:r>
            </m:sup>
          </m:sSup>
          <m:r>
            <w:rPr>
              <w:rFonts w:ascii="Cambria Math" w:hAnsi="Cambria Math"/>
            </w:rPr>
            <m:t>BP</m:t>
          </m:r>
          <m:sSub>
            <m:sSubPr>
              <m:ctrlPr>
                <w:rPr>
                  <w:rFonts w:ascii="Cambria Math" w:hAnsi="Cambria Math"/>
                  <w:i/>
                </w:rPr>
              </m:ctrlPr>
            </m:sSubPr>
            <m:e>
              <m:r>
                <w:rPr>
                  <w:rFonts w:ascii="Cambria Math" w:hAnsi="Cambria Math"/>
                </w:rPr>
                <m:t>R</m:t>
              </m:r>
            </m:e>
            <m:sub>
              <m:r>
                <w:rPr>
                  <w:rFonts w:ascii="Cambria Math" w:hAnsi="Cambria Math"/>
                </w:rPr>
                <m:t>t</m:t>
              </m:r>
            </m:sub>
          </m:sSub>
          <m:d>
            <m:dPr>
              <m:ctrlPr>
                <w:rPr>
                  <w:rFonts w:ascii="Cambria Math" w:hAnsi="Cambria Math"/>
                  <w:i/>
                </w:rPr>
              </m:ctrlPr>
            </m:dPr>
            <m:e>
              <m:r>
                <w:rPr>
                  <w:rFonts w:ascii="Cambria Math" w:hAnsi="Cambria Math"/>
                </w:rPr>
                <m:t>i</m:t>
              </m:r>
            </m:e>
          </m:d>
        </m:oMath>
      </m:oMathPara>
    </w:p>
    <w:p w14:paraId="231F2F20" w14:textId="0FF1FF08" w:rsidR="00E2165C" w:rsidRPr="00914206" w:rsidRDefault="00E2165C" w:rsidP="00E2165C">
      <m:oMathPara>
        <m:oMath>
          <m:r>
            <w:rPr>
              <w:rFonts w:ascii="Cambria Math" w:hAnsi="Cambria Math"/>
            </w:rPr>
            <m:t>+</m:t>
          </m:r>
          <m:sSup>
            <m:sSupPr>
              <m:ctrlPr>
                <w:rPr>
                  <w:rFonts w:ascii="Cambria Math" w:hAnsi="Cambria Math"/>
                  <w:i/>
                  <w:color w:val="FF0000"/>
                </w:rPr>
              </m:ctrlPr>
            </m:sSupPr>
            <m:e>
              <m:r>
                <w:rPr>
                  <w:rFonts w:ascii="Cambria Math" w:hAnsi="Cambria Math"/>
                  <w:color w:val="FF0000"/>
                </w:rPr>
                <m:t>β</m:t>
              </m:r>
            </m:e>
            <m:sup>
              <m:r>
                <w:rPr>
                  <w:rFonts w:ascii="Cambria Math" w:hAnsi="Cambria Math"/>
                  <w:color w:val="FF0000"/>
                </w:rPr>
                <m:t>RES</m:t>
              </m:r>
            </m:sup>
          </m:sSup>
          <m:r>
            <w:rPr>
              <w:rFonts w:ascii="Cambria Math" w:hAnsi="Cambria Math"/>
              <w:color w:val="FF0000"/>
            </w:rPr>
            <m:t>RE</m:t>
          </m:r>
          <m:sSub>
            <m:sSubPr>
              <m:ctrlPr>
                <w:rPr>
                  <w:rFonts w:ascii="Cambria Math" w:hAnsi="Cambria Math"/>
                  <w:i/>
                  <w:color w:val="FF0000"/>
                </w:rPr>
              </m:ctrlPr>
            </m:sSubPr>
            <m:e>
              <m:r>
                <w:rPr>
                  <w:rFonts w:ascii="Cambria Math" w:hAnsi="Cambria Math"/>
                  <w:color w:val="FF0000"/>
                </w:rPr>
                <m:t>S</m:t>
              </m:r>
            </m:e>
            <m:sub>
              <m:r>
                <w:rPr>
                  <w:rFonts w:ascii="Cambria Math" w:hAnsi="Cambria Math"/>
                  <w:color w:val="FF0000"/>
                </w:rPr>
                <m:t>t</m:t>
              </m:r>
            </m:sub>
          </m:sSub>
          <m:d>
            <m:dPr>
              <m:ctrlPr>
                <w:rPr>
                  <w:rFonts w:ascii="Cambria Math" w:hAnsi="Cambria Math"/>
                  <w:i/>
                  <w:color w:val="FF0000"/>
                </w:rPr>
              </m:ctrlPr>
            </m:dPr>
            <m:e>
              <m:r>
                <w:rPr>
                  <w:rFonts w:ascii="Cambria Math" w:hAnsi="Cambria Math"/>
                  <w:color w:val="FF0000"/>
                </w:rPr>
                <m:t>i</m:t>
              </m:r>
            </m:e>
          </m:d>
          <m:r>
            <w:rPr>
              <w:rFonts w:ascii="Cambria Math" w:hAnsi="Cambria Math"/>
              <w:color w:val="FF0000"/>
            </w:rPr>
            <m:t>+</m:t>
          </m:r>
          <m:sSup>
            <m:sSupPr>
              <m:ctrlPr>
                <w:rPr>
                  <w:rFonts w:ascii="Cambria Math" w:hAnsi="Cambria Math"/>
                  <w:i/>
                  <w:color w:val="FF0000"/>
                </w:rPr>
              </m:ctrlPr>
            </m:sSupPr>
            <m:e>
              <m:r>
                <w:rPr>
                  <w:rFonts w:ascii="Cambria Math" w:hAnsi="Cambria Math"/>
                  <w:color w:val="FF0000"/>
                </w:rPr>
                <m:t>β</m:t>
              </m:r>
            </m:e>
            <m:sup>
              <m:r>
                <w:rPr>
                  <w:rFonts w:ascii="Cambria Math" w:hAnsi="Cambria Math"/>
                  <w:color w:val="FF0000"/>
                </w:rPr>
                <m:t>RD</m:t>
              </m:r>
            </m:sup>
          </m:sSup>
          <m:sSub>
            <m:sSubPr>
              <m:ctrlPr>
                <w:rPr>
                  <w:rFonts w:ascii="Cambria Math" w:hAnsi="Cambria Math"/>
                  <w:i/>
                  <w:color w:val="FF0000"/>
                </w:rPr>
              </m:ctrlPr>
            </m:sSubPr>
            <m:e>
              <m:r>
                <w:rPr>
                  <w:rFonts w:ascii="Cambria Math" w:hAnsi="Cambria Math"/>
                  <w:color w:val="FF0000"/>
                </w:rPr>
                <m:t>RD</m:t>
              </m:r>
            </m:e>
            <m:sub>
              <m:r>
                <w:rPr>
                  <w:rFonts w:ascii="Cambria Math" w:hAnsi="Cambria Math"/>
                  <w:color w:val="FF0000"/>
                </w:rPr>
                <m:t>t</m:t>
              </m:r>
            </m:sub>
          </m:sSub>
          <m:d>
            <m:dPr>
              <m:ctrlPr>
                <w:rPr>
                  <w:rFonts w:ascii="Cambria Math" w:hAnsi="Cambria Math"/>
                  <w:i/>
                  <w:color w:val="FF0000"/>
                </w:rPr>
              </m:ctrlPr>
            </m:dPr>
            <m:e>
              <m:r>
                <w:rPr>
                  <w:rFonts w:ascii="Cambria Math" w:hAnsi="Cambria Math"/>
                  <w:color w:val="FF0000"/>
                </w:rPr>
                <m:t>i</m:t>
              </m:r>
            </m:e>
          </m:d>
        </m:oMath>
      </m:oMathPara>
    </w:p>
    <w:p w14:paraId="18814FCA" w14:textId="1A17DEA6" w:rsidR="00E2165C" w:rsidRDefault="00E2165C">
      <w:pPr>
        <w:widowControl/>
        <w:jc w:val="left"/>
      </w:pPr>
      <w:r>
        <w:br w:type="page"/>
      </w:r>
    </w:p>
    <w:p w14:paraId="20C54D0A" w14:textId="77777777" w:rsidR="00914206" w:rsidRPr="00914206" w:rsidRDefault="00914206" w:rsidP="00914206"/>
    <w:p w14:paraId="6347C81C" w14:textId="2A5ADC14" w:rsidR="004546A2" w:rsidRDefault="004546A2" w:rsidP="004546A2">
      <w:pPr>
        <w:pStyle w:val="a3"/>
        <w:numPr>
          <w:ilvl w:val="0"/>
          <w:numId w:val="2"/>
        </w:numPr>
        <w:ind w:leftChars="0"/>
      </w:pPr>
      <w:r>
        <w:rPr>
          <w:rFonts w:hint="eastAsia"/>
        </w:rPr>
        <w:t>年次リターンを被説明変数とした場合</w:t>
      </w:r>
    </w:p>
    <w:p w14:paraId="1850F0BD" w14:textId="6B950FC1" w:rsidR="004546A2" w:rsidRDefault="00235DCB" w:rsidP="00235DCB">
      <w:pPr>
        <w:pStyle w:val="a3"/>
        <w:ind w:leftChars="0"/>
        <w:jc w:val="center"/>
      </w:pPr>
      <w:r>
        <w:rPr>
          <w:noProof/>
        </w:rPr>
        <w:drawing>
          <wp:inline distT="0" distB="0" distL="0" distR="0" wp14:anchorId="150BF911" wp14:editId="61B5E4D0">
            <wp:extent cx="3161199" cy="2449411"/>
            <wp:effectExtent l="0" t="0" r="1270" b="825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95075" cy="2475659"/>
                    </a:xfrm>
                    <a:prstGeom prst="rect">
                      <a:avLst/>
                    </a:prstGeom>
                    <a:noFill/>
                    <a:ln>
                      <a:noFill/>
                    </a:ln>
                  </pic:spPr>
                </pic:pic>
              </a:graphicData>
            </a:graphic>
          </wp:inline>
        </w:drawing>
      </w:r>
    </w:p>
    <w:p w14:paraId="7C5163AF" w14:textId="0C6CAFC7" w:rsidR="00E2165C" w:rsidRDefault="00E2165C" w:rsidP="00E2165C">
      <w:pPr>
        <w:pStyle w:val="a3"/>
        <w:numPr>
          <w:ilvl w:val="0"/>
          <w:numId w:val="3"/>
        </w:numPr>
        <w:ind w:leftChars="0"/>
        <w:jc w:val="left"/>
      </w:pPr>
      <w:r>
        <w:rPr>
          <w:rFonts w:hint="eastAsia"/>
        </w:rPr>
        <w:t>B</w:t>
      </w:r>
      <w:r>
        <w:t>ETA</w:t>
      </w:r>
      <w:r w:rsidR="00D776A6">
        <w:rPr>
          <w:rFonts w:hint="eastAsia"/>
        </w:rPr>
        <w:t>はいずれの</w:t>
      </w:r>
      <w:r>
        <w:rPr>
          <w:rFonts w:hint="eastAsia"/>
        </w:rPr>
        <w:t>モデルも有意ではない</w:t>
      </w:r>
    </w:p>
    <w:p w14:paraId="16037BCF" w14:textId="239F9864" w:rsidR="00E2165C" w:rsidRDefault="00E2165C" w:rsidP="00E2165C">
      <w:pPr>
        <w:pStyle w:val="a3"/>
        <w:numPr>
          <w:ilvl w:val="3"/>
          <w:numId w:val="3"/>
        </w:numPr>
        <w:ind w:leftChars="0" w:left="1843"/>
        <w:jc w:val="left"/>
      </w:pPr>
      <w:r>
        <w:rPr>
          <w:rFonts w:hint="eastAsia"/>
        </w:rPr>
        <w:t>1998年から2008年のTOPIXは一方的に上昇（下落）したわけではないのでBETAが有意にならないのは不自然ではない</w:t>
      </w:r>
    </w:p>
    <w:p w14:paraId="3CA5FD4F" w14:textId="05D0090C" w:rsidR="00E2165C" w:rsidRDefault="00D776A6" w:rsidP="00D776A6">
      <w:pPr>
        <w:pStyle w:val="a3"/>
        <w:numPr>
          <w:ilvl w:val="0"/>
          <w:numId w:val="3"/>
        </w:numPr>
        <w:ind w:leftChars="0"/>
        <w:jc w:val="left"/>
      </w:pPr>
      <w:r>
        <w:rPr>
          <w:rFonts w:hint="eastAsia"/>
        </w:rPr>
        <w:t>MKVはいずれのモデルでも有意ではない</w:t>
      </w:r>
    </w:p>
    <w:p w14:paraId="376460C4" w14:textId="253FDF8E" w:rsidR="00D776A6" w:rsidRDefault="00D776A6" w:rsidP="00D776A6">
      <w:pPr>
        <w:pStyle w:val="a3"/>
        <w:numPr>
          <w:ilvl w:val="3"/>
          <w:numId w:val="3"/>
        </w:numPr>
        <w:ind w:leftChars="0" w:left="1843"/>
        <w:jc w:val="left"/>
      </w:pPr>
      <w:r>
        <w:rPr>
          <w:rFonts w:hint="eastAsia"/>
        </w:rPr>
        <w:t>80年代後半までは回帰係数が負値で有意に推定される（小型株の期待リターンが高い）傾向が続く</w:t>
      </w:r>
    </w:p>
    <w:p w14:paraId="1E7005B5" w14:textId="3C5B3C05" w:rsidR="00D776A6" w:rsidRDefault="00D776A6" w:rsidP="00D776A6">
      <w:pPr>
        <w:pStyle w:val="a3"/>
        <w:numPr>
          <w:ilvl w:val="3"/>
          <w:numId w:val="3"/>
        </w:numPr>
        <w:ind w:leftChars="0" w:left="1843"/>
        <w:jc w:val="left"/>
      </w:pPr>
      <w:r>
        <w:rPr>
          <w:rFonts w:hint="eastAsia"/>
        </w:rPr>
        <w:t>バブル崩壊以降は逆に大型株の期待リターンが高い傾向が強い。</w:t>
      </w:r>
    </w:p>
    <w:p w14:paraId="131A656F" w14:textId="6B43EA69" w:rsidR="00D776A6" w:rsidRDefault="00D776A6" w:rsidP="00D776A6">
      <w:pPr>
        <w:pStyle w:val="a3"/>
        <w:numPr>
          <w:ilvl w:val="3"/>
          <w:numId w:val="3"/>
        </w:numPr>
        <w:ind w:leftChars="0" w:left="1843"/>
        <w:jc w:val="left"/>
      </w:pPr>
      <w:r>
        <w:rPr>
          <w:rFonts w:hint="eastAsia"/>
        </w:rPr>
        <w:t>投資家が信用リスクに敏感になったことで、信用リスクの高い小型株が敬遠されると同時に大型株が選好されたことが理由の一つ。</w:t>
      </w:r>
    </w:p>
    <w:p w14:paraId="794E4B50" w14:textId="40A0103A" w:rsidR="00D776A6" w:rsidRDefault="00D776A6" w:rsidP="00D776A6">
      <w:pPr>
        <w:pStyle w:val="a3"/>
        <w:numPr>
          <w:ilvl w:val="0"/>
          <w:numId w:val="5"/>
        </w:numPr>
        <w:ind w:leftChars="0"/>
        <w:jc w:val="left"/>
      </w:pPr>
      <w:r>
        <w:rPr>
          <w:rFonts w:hint="eastAsia"/>
        </w:rPr>
        <w:t>BPRはいずれのモデルでも有意である</w:t>
      </w:r>
    </w:p>
    <w:p w14:paraId="52684BAF" w14:textId="7A604C9B" w:rsidR="001D6BEF" w:rsidRDefault="00D776A6" w:rsidP="001D6BEF">
      <w:pPr>
        <w:pStyle w:val="a3"/>
        <w:numPr>
          <w:ilvl w:val="3"/>
          <w:numId w:val="3"/>
        </w:numPr>
        <w:ind w:leftChars="0" w:left="1843"/>
        <w:jc w:val="left"/>
      </w:pPr>
      <w:r>
        <w:rPr>
          <w:rFonts w:hint="eastAsia"/>
        </w:rPr>
        <w:t>日本においては特定の短い期間</w:t>
      </w:r>
      <w:r w:rsidR="001D6BEF">
        <w:rPr>
          <w:rFonts w:hint="eastAsia"/>
        </w:rPr>
        <w:t>（ITバブル（90年代後半から200年）、金融危機（2</w:t>
      </w:r>
      <w:r w:rsidR="001D6BEF">
        <w:t>008</w:t>
      </w:r>
      <w:r w:rsidR="001D6BEF">
        <w:rPr>
          <w:rFonts w:hint="eastAsia"/>
        </w:rPr>
        <w:t>年））</w:t>
      </w:r>
      <w:r>
        <w:rPr>
          <w:rFonts w:hint="eastAsia"/>
        </w:rPr>
        <w:t>を除いて有意な正値として</w:t>
      </w:r>
      <w:r w:rsidR="001D6BEF">
        <w:rPr>
          <w:rFonts w:hint="eastAsia"/>
        </w:rPr>
        <w:t>観測される傾向が強い。</w:t>
      </w:r>
    </w:p>
    <w:p w14:paraId="7F899598" w14:textId="55F3D0A8" w:rsidR="001D6BEF" w:rsidRDefault="001D6BEF" w:rsidP="001D6BEF">
      <w:pPr>
        <w:pStyle w:val="a3"/>
        <w:numPr>
          <w:ilvl w:val="0"/>
          <w:numId w:val="5"/>
        </w:numPr>
        <w:ind w:leftChars="0"/>
        <w:jc w:val="left"/>
      </w:pPr>
      <w:r>
        <w:rPr>
          <w:rFonts w:hint="eastAsia"/>
        </w:rPr>
        <w:t>RD（研究開発費ファクター）は有意だが、RD（残差ファクター）は有意ではない。</w:t>
      </w:r>
    </w:p>
    <w:p w14:paraId="0598A99B" w14:textId="30ED344C" w:rsidR="001D6BEF" w:rsidRDefault="00852B22" w:rsidP="001D6BEF">
      <w:pPr>
        <w:pStyle w:val="a3"/>
        <w:numPr>
          <w:ilvl w:val="3"/>
          <w:numId w:val="3"/>
        </w:numPr>
        <w:ind w:leftChars="0" w:left="1843"/>
        <w:jc w:val="left"/>
      </w:pPr>
      <w:r>
        <w:rPr>
          <w:rFonts w:hint="eastAsia"/>
        </w:rPr>
        <w:t>1カ月の残差ファクターを説明変数としているが、被説明変数は1年のリターンを使用している。</w:t>
      </w:r>
    </w:p>
    <w:p w14:paraId="790487F4" w14:textId="3DE08584" w:rsidR="00BD6523" w:rsidRDefault="00BD6523" w:rsidP="00BD6523">
      <w:pPr>
        <w:widowControl/>
        <w:jc w:val="left"/>
      </w:pPr>
      <w:r>
        <w:br w:type="page"/>
      </w:r>
    </w:p>
    <w:p w14:paraId="69763E72" w14:textId="7152CDB8" w:rsidR="00852B22" w:rsidRDefault="00BD6523" w:rsidP="00BD6523">
      <w:pPr>
        <w:pStyle w:val="a3"/>
        <w:numPr>
          <w:ilvl w:val="0"/>
          <w:numId w:val="2"/>
        </w:numPr>
        <w:ind w:leftChars="0"/>
        <w:jc w:val="left"/>
      </w:pPr>
      <w:r>
        <w:rPr>
          <w:rFonts w:hint="eastAsia"/>
        </w:rPr>
        <w:lastRenderedPageBreak/>
        <w:t>月次リターンを被説明変数とした場合</w:t>
      </w:r>
    </w:p>
    <w:p w14:paraId="10AB03E2" w14:textId="6674926D" w:rsidR="00BD6523" w:rsidRDefault="00BD6523" w:rsidP="00BD6523">
      <w:pPr>
        <w:pStyle w:val="a3"/>
        <w:ind w:leftChars="0" w:left="420"/>
        <w:jc w:val="center"/>
      </w:pPr>
      <w:r>
        <w:rPr>
          <w:rFonts w:hint="eastAsia"/>
          <w:noProof/>
        </w:rPr>
        <w:drawing>
          <wp:inline distT="0" distB="0" distL="0" distR="0" wp14:anchorId="76790E48" wp14:editId="52CEE6AE">
            <wp:extent cx="3407576" cy="2895600"/>
            <wp:effectExtent l="0" t="0" r="254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25257" cy="2910624"/>
                    </a:xfrm>
                    <a:prstGeom prst="rect">
                      <a:avLst/>
                    </a:prstGeom>
                    <a:noFill/>
                    <a:ln>
                      <a:noFill/>
                    </a:ln>
                  </pic:spPr>
                </pic:pic>
              </a:graphicData>
            </a:graphic>
          </wp:inline>
        </w:drawing>
      </w:r>
    </w:p>
    <w:p w14:paraId="1D3513A7" w14:textId="2334B0C0" w:rsidR="00BD6523" w:rsidRDefault="00BD6523" w:rsidP="00BD6523">
      <w:pPr>
        <w:pStyle w:val="a3"/>
        <w:numPr>
          <w:ilvl w:val="0"/>
          <w:numId w:val="5"/>
        </w:numPr>
        <w:ind w:leftChars="0"/>
        <w:jc w:val="left"/>
      </w:pPr>
      <w:r>
        <w:rPr>
          <w:rFonts w:hint="eastAsia"/>
        </w:rPr>
        <w:t>年次リターン</w:t>
      </w:r>
      <w:r w:rsidR="005F24F0">
        <w:rPr>
          <w:rFonts w:hint="eastAsia"/>
        </w:rPr>
        <w:t>の場合と同じ</w:t>
      </w:r>
      <w:r>
        <w:rPr>
          <w:rFonts w:hint="eastAsia"/>
        </w:rPr>
        <w:t>結果：</w:t>
      </w:r>
    </w:p>
    <w:p w14:paraId="4324365A" w14:textId="1C6085CC" w:rsidR="00BD6523" w:rsidRDefault="00BD6523" w:rsidP="00BD6523">
      <w:pPr>
        <w:pStyle w:val="a3"/>
        <w:numPr>
          <w:ilvl w:val="3"/>
          <w:numId w:val="3"/>
        </w:numPr>
        <w:ind w:leftChars="0" w:left="1701"/>
        <w:jc w:val="left"/>
      </w:pPr>
      <w:r>
        <w:rPr>
          <w:rFonts w:hint="eastAsia"/>
        </w:rPr>
        <w:t>BETAとMKVは有意ではない</w:t>
      </w:r>
    </w:p>
    <w:p w14:paraId="3DF99529" w14:textId="0641840A" w:rsidR="00BD6523" w:rsidRDefault="005F24F0" w:rsidP="00BD6523">
      <w:pPr>
        <w:pStyle w:val="a3"/>
        <w:numPr>
          <w:ilvl w:val="3"/>
          <w:numId w:val="3"/>
        </w:numPr>
        <w:ind w:leftChars="0" w:left="1701"/>
        <w:jc w:val="left"/>
      </w:pPr>
      <w:r>
        <w:rPr>
          <w:rFonts w:hint="eastAsia"/>
        </w:rPr>
        <w:t>BPRとRDは有意</w:t>
      </w:r>
    </w:p>
    <w:p w14:paraId="1A7330C7" w14:textId="376D8CE4" w:rsidR="005F24F0" w:rsidRDefault="005F24F0" w:rsidP="005F24F0">
      <w:pPr>
        <w:pStyle w:val="a3"/>
        <w:numPr>
          <w:ilvl w:val="0"/>
          <w:numId w:val="5"/>
        </w:numPr>
        <w:ind w:leftChars="0"/>
        <w:jc w:val="left"/>
      </w:pPr>
      <w:r>
        <w:rPr>
          <w:rFonts w:hint="eastAsia"/>
        </w:rPr>
        <w:t>年次リターンの場合と異なる結果：</w:t>
      </w:r>
    </w:p>
    <w:p w14:paraId="6425FC20" w14:textId="20A79D2A" w:rsidR="005F24F0" w:rsidRDefault="005F24F0" w:rsidP="005F24F0">
      <w:pPr>
        <w:pStyle w:val="a3"/>
        <w:numPr>
          <w:ilvl w:val="3"/>
          <w:numId w:val="3"/>
        </w:numPr>
        <w:ind w:leftChars="0" w:left="1701"/>
        <w:jc w:val="left"/>
      </w:pPr>
      <w:r>
        <w:rPr>
          <w:rFonts w:hint="eastAsia"/>
        </w:rPr>
        <w:t>残差リターンが有意</w:t>
      </w:r>
    </w:p>
    <w:p w14:paraId="747E6740" w14:textId="309A0C1D" w:rsidR="005F24F0" w:rsidRDefault="005F24F0" w:rsidP="005F24F0">
      <w:pPr>
        <w:pStyle w:val="a3"/>
        <w:numPr>
          <w:ilvl w:val="3"/>
          <w:numId w:val="3"/>
        </w:numPr>
        <w:ind w:leftChars="0" w:left="1701"/>
        <w:jc w:val="left"/>
      </w:pPr>
      <w:r>
        <w:rPr>
          <w:rFonts w:hint="eastAsia"/>
        </w:rPr>
        <w:t>1カ月の残差ファクターが捉える事ができるオーバーリアクション効果は1カ月程度の短いリバランスで有効。</w:t>
      </w:r>
    </w:p>
    <w:p w14:paraId="20CF87EF" w14:textId="1067798C" w:rsidR="008A36DF" w:rsidRDefault="008A36DF">
      <w:pPr>
        <w:widowControl/>
        <w:jc w:val="left"/>
      </w:pPr>
      <w:r>
        <w:br w:type="page"/>
      </w:r>
    </w:p>
    <w:p w14:paraId="6CAEAF52" w14:textId="77777777" w:rsidR="00955FC5" w:rsidRDefault="00955FC5" w:rsidP="00955FC5">
      <w:pPr>
        <w:pStyle w:val="a3"/>
        <w:ind w:leftChars="0" w:left="1701"/>
        <w:jc w:val="left"/>
      </w:pPr>
    </w:p>
    <w:p w14:paraId="6A146CDB" w14:textId="60FDC340" w:rsidR="00955FC5" w:rsidRDefault="00955FC5" w:rsidP="00955FC5">
      <w:pPr>
        <w:pStyle w:val="a3"/>
        <w:numPr>
          <w:ilvl w:val="0"/>
          <w:numId w:val="2"/>
        </w:numPr>
        <w:ind w:leftChars="0"/>
        <w:jc w:val="left"/>
      </w:pPr>
      <w:r>
        <w:rPr>
          <w:rFonts w:hint="eastAsia"/>
        </w:rPr>
        <w:t>ダミー変数の追加</w:t>
      </w:r>
    </w:p>
    <w:p w14:paraId="43F6978C" w14:textId="2032B6D1" w:rsidR="00D13F60" w:rsidRDefault="00D13F60" w:rsidP="00D13F60">
      <w:pPr>
        <w:pStyle w:val="a3"/>
        <w:numPr>
          <w:ilvl w:val="0"/>
          <w:numId w:val="5"/>
        </w:numPr>
        <w:ind w:leftChars="0"/>
        <w:jc w:val="left"/>
      </w:pPr>
      <w:r>
        <w:rPr>
          <w:rFonts w:hint="eastAsia"/>
        </w:rPr>
        <w:t>Fama-</w:t>
      </w:r>
      <w:r>
        <w:t>French</w:t>
      </w:r>
      <w:r>
        <w:rPr>
          <w:rFonts w:hint="eastAsia"/>
        </w:rPr>
        <w:t>モデルに新たに追加した残差ファクターと研究開発費ファクターが業種ごとに特定の平均的傾向を表すファクターであるとすると、業種の違いを反映する代理変数としての役割を追っているだけで、ファクターに期待される本質的な意味はない可能性がある。</w:t>
      </w:r>
    </w:p>
    <w:p w14:paraId="549C214D" w14:textId="4ED8E808" w:rsidR="00D13F60" w:rsidRDefault="00D13F60" w:rsidP="00D13F60">
      <w:pPr>
        <w:pStyle w:val="a3"/>
        <w:numPr>
          <w:ilvl w:val="0"/>
          <w:numId w:val="5"/>
        </w:numPr>
        <w:ind w:leftChars="0"/>
        <w:jc w:val="left"/>
      </w:pPr>
      <w:r>
        <w:rPr>
          <w:rFonts w:hint="eastAsia"/>
        </w:rPr>
        <w:t>業種ダミーを追加したモデルで再度推定を実施する。</w:t>
      </w:r>
    </w:p>
    <w:p w14:paraId="724A52A5" w14:textId="71259D76" w:rsidR="008A36DF" w:rsidRDefault="008A36DF" w:rsidP="008A36DF">
      <w:pPr>
        <w:pStyle w:val="a3"/>
        <w:ind w:leftChars="0" w:left="1260"/>
        <w:jc w:val="center"/>
      </w:pPr>
      <w:r>
        <w:rPr>
          <w:noProof/>
        </w:rPr>
        <w:drawing>
          <wp:inline distT="0" distB="0" distL="0" distR="0" wp14:anchorId="59719D14" wp14:editId="527F1A6D">
            <wp:extent cx="3274592" cy="2699326"/>
            <wp:effectExtent l="0" t="0" r="2540" b="635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91890" cy="2713585"/>
                    </a:xfrm>
                    <a:prstGeom prst="rect">
                      <a:avLst/>
                    </a:prstGeom>
                    <a:noFill/>
                    <a:ln>
                      <a:noFill/>
                    </a:ln>
                  </pic:spPr>
                </pic:pic>
              </a:graphicData>
            </a:graphic>
          </wp:inline>
        </w:drawing>
      </w:r>
    </w:p>
    <w:p w14:paraId="4B16BE37" w14:textId="6D8C2B51" w:rsidR="008A36DF" w:rsidRDefault="008A36DF" w:rsidP="008A36DF">
      <w:pPr>
        <w:pStyle w:val="a3"/>
        <w:numPr>
          <w:ilvl w:val="3"/>
          <w:numId w:val="3"/>
        </w:numPr>
        <w:ind w:leftChars="0" w:left="1560"/>
        <w:jc w:val="left"/>
      </w:pPr>
      <w:r>
        <w:rPr>
          <w:rFonts w:hint="eastAsia"/>
        </w:rPr>
        <w:t>研究開発ファクターのt値は小さくなるものの、有意である事は変わらない。</w:t>
      </w:r>
      <w:r w:rsidR="00B60C84">
        <w:rPr>
          <w:rFonts w:hint="eastAsia"/>
        </w:rPr>
        <w:t>➡業種の違いを反映する代理変数ではない</w:t>
      </w:r>
    </w:p>
    <w:p w14:paraId="3566C507" w14:textId="05ADB414" w:rsidR="00B60C84" w:rsidRDefault="00B60C84" w:rsidP="00D71CF8">
      <w:pPr>
        <w:jc w:val="left"/>
      </w:pPr>
    </w:p>
    <w:p w14:paraId="73E21145" w14:textId="26E453F9" w:rsidR="00D71CF8" w:rsidRDefault="00D71CF8" w:rsidP="00D71CF8">
      <w:pPr>
        <w:jc w:val="left"/>
      </w:pPr>
      <w:r>
        <w:rPr>
          <w:rFonts w:hint="eastAsia"/>
        </w:rPr>
        <w:t>3</w:t>
      </w:r>
      <w:r>
        <w:t xml:space="preserve">.3.3 </w:t>
      </w:r>
      <w:r>
        <w:rPr>
          <w:rFonts w:hint="eastAsia"/>
        </w:rPr>
        <w:t>分位ポートフォリオ分析</w:t>
      </w:r>
    </w:p>
    <w:p w14:paraId="20763E7E" w14:textId="3346C4BE" w:rsidR="00D71CF8" w:rsidRDefault="00143C3C" w:rsidP="00143C3C">
      <w:pPr>
        <w:ind w:firstLineChars="100" w:firstLine="210"/>
        <w:jc w:val="left"/>
      </w:pPr>
      <w:r>
        <w:rPr>
          <w:rFonts w:hint="eastAsia"/>
        </w:rPr>
        <w:t>実際の株式収益率が必ずしも統計モデルが前提としているような確率論的振る舞いをするとは限らないので、ポートフォリオシミュレーションなどの方法で確認する必要がある。</w:t>
      </w:r>
    </w:p>
    <w:p w14:paraId="7DF4FC5D" w14:textId="3A82802F" w:rsidR="00143C3C" w:rsidRDefault="00143C3C" w:rsidP="00143C3C">
      <w:pPr>
        <w:jc w:val="left"/>
      </w:pPr>
    </w:p>
    <w:p w14:paraId="17947C58" w14:textId="26F38CCA" w:rsidR="00143C3C" w:rsidRDefault="00143C3C" w:rsidP="00262E24">
      <w:pPr>
        <w:pStyle w:val="a3"/>
        <w:numPr>
          <w:ilvl w:val="0"/>
          <w:numId w:val="8"/>
        </w:numPr>
        <w:ind w:leftChars="0"/>
        <w:jc w:val="left"/>
      </w:pPr>
      <w:r>
        <w:rPr>
          <w:rFonts w:hint="eastAsia"/>
        </w:rPr>
        <w:t>具体的方法</w:t>
      </w:r>
    </w:p>
    <w:p w14:paraId="686CF78C" w14:textId="3211AAD9" w:rsidR="00262E24" w:rsidRDefault="00262E24" w:rsidP="00262E24">
      <w:pPr>
        <w:pStyle w:val="a3"/>
        <w:numPr>
          <w:ilvl w:val="1"/>
          <w:numId w:val="8"/>
        </w:numPr>
        <w:ind w:leftChars="0"/>
        <w:jc w:val="left"/>
      </w:pPr>
      <w:r>
        <w:rPr>
          <w:rFonts w:hint="eastAsia"/>
        </w:rPr>
        <w:t>各モデルを各月でクロスセクション回帰してファクターリターンを求める。</w:t>
      </w:r>
    </w:p>
    <w:p w14:paraId="6735754F" w14:textId="77777777" w:rsidR="00262E24" w:rsidRDefault="00262E24" w:rsidP="00262E24">
      <w:pPr>
        <w:pStyle w:val="a3"/>
        <w:numPr>
          <w:ilvl w:val="1"/>
          <w:numId w:val="8"/>
        </w:numPr>
        <w:ind w:leftChars="0"/>
        <w:jc w:val="left"/>
      </w:pPr>
      <w:r>
        <w:rPr>
          <w:rFonts w:hint="eastAsia"/>
        </w:rPr>
        <w:t>当月までの36カ月の平均値をもって来月のファクターリターンの予測値とする。</w:t>
      </w:r>
    </w:p>
    <w:p w14:paraId="101C8FC0" w14:textId="77777777" w:rsidR="00262E24" w:rsidRDefault="00262E24" w:rsidP="00262E24">
      <w:pPr>
        <w:pStyle w:val="a3"/>
        <w:numPr>
          <w:ilvl w:val="1"/>
          <w:numId w:val="8"/>
        </w:numPr>
        <w:ind w:leftChars="0"/>
        <w:jc w:val="left"/>
      </w:pPr>
      <w:r>
        <w:rPr>
          <w:rFonts w:hint="eastAsia"/>
        </w:rPr>
        <w:t>当月末に確定した各ファクターの観測値をモデルの入力値とし、来月の予想リターンとする。</w:t>
      </w:r>
    </w:p>
    <w:p w14:paraId="40C45C96" w14:textId="7130F64A" w:rsidR="004A1B88" w:rsidRDefault="00262E24" w:rsidP="00A77CCF">
      <w:pPr>
        <w:pStyle w:val="a3"/>
        <w:numPr>
          <w:ilvl w:val="2"/>
          <w:numId w:val="8"/>
        </w:numPr>
        <w:ind w:leftChars="0"/>
        <w:jc w:val="left"/>
      </w:pPr>
      <w:r>
        <w:rPr>
          <w:rFonts w:hint="eastAsia"/>
        </w:rPr>
        <w:t>各モデルで予想した</w:t>
      </w:r>
      <w:r w:rsidR="004A1B88">
        <w:rPr>
          <w:rFonts w:hint="eastAsia"/>
        </w:rPr>
        <w:t>予想月次収益率に応じて、業種分類ごとに銘柄をランキングし、業種構成の等しい10分位ポートフォリオを作成する。</w:t>
      </w:r>
    </w:p>
    <w:p w14:paraId="0DF7A992" w14:textId="59596FD1" w:rsidR="004A1B88" w:rsidRDefault="004A1B88" w:rsidP="004A1B88">
      <w:pPr>
        <w:widowControl/>
        <w:jc w:val="left"/>
      </w:pPr>
      <w:r>
        <w:br w:type="page"/>
      </w:r>
    </w:p>
    <w:p w14:paraId="236E454F" w14:textId="1C2BBF3C" w:rsidR="00143C3C" w:rsidRDefault="00143C3C" w:rsidP="00143C3C">
      <w:pPr>
        <w:pStyle w:val="a3"/>
        <w:numPr>
          <w:ilvl w:val="0"/>
          <w:numId w:val="8"/>
        </w:numPr>
        <w:ind w:leftChars="0"/>
        <w:jc w:val="left"/>
      </w:pPr>
      <w:r>
        <w:rPr>
          <w:rFonts w:hint="eastAsia"/>
        </w:rPr>
        <w:lastRenderedPageBreak/>
        <w:t>シミュレーション</w:t>
      </w:r>
    </w:p>
    <w:p w14:paraId="50B59C06" w14:textId="1710B108" w:rsidR="00AD06A1" w:rsidRDefault="004A1B88" w:rsidP="00AD06A1">
      <w:pPr>
        <w:pStyle w:val="a3"/>
        <w:numPr>
          <w:ilvl w:val="0"/>
          <w:numId w:val="2"/>
        </w:numPr>
        <w:ind w:leftChars="0"/>
        <w:jc w:val="left"/>
      </w:pPr>
      <w:r>
        <w:rPr>
          <w:rFonts w:hint="eastAsia"/>
        </w:rPr>
        <w:t>各10分位ポートフォリオの月次パフォーマンスを等ウェイトで計算する。</w:t>
      </w:r>
    </w:p>
    <w:p w14:paraId="76642D16" w14:textId="72CC2E32" w:rsidR="00AD06A1" w:rsidRDefault="00AD06A1" w:rsidP="00AD06A1">
      <w:pPr>
        <w:pStyle w:val="a3"/>
        <w:numPr>
          <w:ilvl w:val="0"/>
          <w:numId w:val="2"/>
        </w:numPr>
        <w:ind w:leftChars="0"/>
        <w:jc w:val="left"/>
      </w:pPr>
      <w:r>
        <w:rPr>
          <w:rFonts w:hint="eastAsia"/>
        </w:rPr>
        <w:t>結果</w:t>
      </w:r>
    </w:p>
    <w:p w14:paraId="1E153006" w14:textId="5A5C0D44" w:rsidR="00AD06A1" w:rsidRDefault="003B6090" w:rsidP="003B6090">
      <w:pPr>
        <w:pStyle w:val="a3"/>
        <w:ind w:leftChars="0"/>
        <w:jc w:val="center"/>
      </w:pPr>
      <w:r>
        <w:rPr>
          <w:noProof/>
        </w:rPr>
        <w:drawing>
          <wp:inline distT="0" distB="0" distL="0" distR="0" wp14:anchorId="06D82A0F" wp14:editId="2FB8A9EF">
            <wp:extent cx="3479635" cy="2407907"/>
            <wp:effectExtent l="0" t="0" r="6985"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0723" cy="2415580"/>
                    </a:xfrm>
                    <a:prstGeom prst="rect">
                      <a:avLst/>
                    </a:prstGeom>
                    <a:noFill/>
                    <a:ln>
                      <a:noFill/>
                    </a:ln>
                  </pic:spPr>
                </pic:pic>
              </a:graphicData>
            </a:graphic>
          </wp:inline>
        </w:drawing>
      </w:r>
    </w:p>
    <w:p w14:paraId="1875C292" w14:textId="44B778A4" w:rsidR="003B6090" w:rsidRDefault="003B6090" w:rsidP="003B6090">
      <w:pPr>
        <w:pStyle w:val="a3"/>
        <w:numPr>
          <w:ilvl w:val="0"/>
          <w:numId w:val="9"/>
        </w:numPr>
        <w:ind w:leftChars="0"/>
        <w:jc w:val="left"/>
      </w:pPr>
      <w:r>
        <w:rPr>
          <w:rFonts w:hint="eastAsia"/>
        </w:rPr>
        <w:t>残差ファクターによる予測は大き</w:t>
      </w:r>
      <w:r w:rsidR="00A77CCF">
        <w:rPr>
          <w:rFonts w:hint="eastAsia"/>
        </w:rPr>
        <w:t>く</w:t>
      </w:r>
      <w:r>
        <w:rPr>
          <w:rFonts w:hint="eastAsia"/>
        </w:rPr>
        <w:t>アルファを生み出す</w:t>
      </w:r>
      <w:r w:rsidR="00A77CCF">
        <w:rPr>
          <w:rFonts w:hint="eastAsia"/>
        </w:rPr>
        <w:t>時期がある（単月最大収益率）</w:t>
      </w:r>
      <w:r>
        <w:rPr>
          <w:rFonts w:hint="eastAsia"/>
        </w:rPr>
        <w:t>一方で大きなドローダウンを被る。さらに、売買回転率が高まる傾向がある。</w:t>
      </w:r>
    </w:p>
    <w:p w14:paraId="6A3B7515" w14:textId="63B24E8E" w:rsidR="003B6090" w:rsidRDefault="003B6090" w:rsidP="003B6090">
      <w:pPr>
        <w:pStyle w:val="a3"/>
        <w:numPr>
          <w:ilvl w:val="0"/>
          <w:numId w:val="9"/>
        </w:numPr>
        <w:ind w:leftChars="0"/>
        <w:jc w:val="left"/>
      </w:pPr>
      <w:r>
        <w:rPr>
          <w:rFonts w:hint="eastAsia"/>
        </w:rPr>
        <w:t>取引コストを考慮した結果</w:t>
      </w:r>
    </w:p>
    <w:p w14:paraId="4A7C910D" w14:textId="1CFC2E6C" w:rsidR="003B6090" w:rsidRDefault="003B6090" w:rsidP="003B6090">
      <w:pPr>
        <w:pStyle w:val="a3"/>
        <w:ind w:leftChars="0" w:left="1260"/>
        <w:jc w:val="center"/>
      </w:pPr>
      <w:r>
        <w:rPr>
          <w:noProof/>
        </w:rPr>
        <w:drawing>
          <wp:inline distT="0" distB="0" distL="0" distR="0" wp14:anchorId="3AFE61E2" wp14:editId="0288D5A9">
            <wp:extent cx="3170326" cy="2120388"/>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8065" cy="2145629"/>
                    </a:xfrm>
                    <a:prstGeom prst="rect">
                      <a:avLst/>
                    </a:prstGeom>
                    <a:noFill/>
                    <a:ln>
                      <a:noFill/>
                    </a:ln>
                  </pic:spPr>
                </pic:pic>
              </a:graphicData>
            </a:graphic>
          </wp:inline>
        </w:drawing>
      </w:r>
    </w:p>
    <w:p w14:paraId="71403AA3" w14:textId="253C352F" w:rsidR="00FC315B" w:rsidRPr="00AD06A1" w:rsidRDefault="00FC315B" w:rsidP="00FC315B">
      <w:pPr>
        <w:pStyle w:val="a3"/>
        <w:numPr>
          <w:ilvl w:val="0"/>
          <w:numId w:val="9"/>
        </w:numPr>
        <w:ind w:leftChars="0"/>
        <w:jc w:val="left"/>
      </w:pPr>
      <w:r>
        <w:rPr>
          <w:rFonts w:hint="eastAsia"/>
        </w:rPr>
        <w:t>研究開発費ファクターは平均リターンの改善とリスク低減効果が期待できる予測ファクターとして機能しているようだ。</w:t>
      </w:r>
    </w:p>
    <w:sectPr w:rsidR="00FC315B" w:rsidRPr="00AD06A1">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33C3E"/>
    <w:multiLevelType w:val="hybridMultilevel"/>
    <w:tmpl w:val="D72E9CD0"/>
    <w:lvl w:ilvl="0" w:tplc="04090009">
      <w:start w:val="1"/>
      <w:numFmt w:val="bullet"/>
      <w:lvlText w:val=""/>
      <w:lvlJc w:val="left"/>
      <w:pPr>
        <w:ind w:left="1260" w:hanging="420"/>
      </w:pPr>
      <w:rPr>
        <w:rFonts w:ascii="Wingdings" w:hAnsi="Wingdings" w:hint="default"/>
      </w:rPr>
    </w:lvl>
    <w:lvl w:ilvl="1" w:tplc="0409000B">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 w15:restartNumberingAfterBreak="0">
    <w:nsid w:val="0A116A65"/>
    <w:multiLevelType w:val="hybridMultilevel"/>
    <w:tmpl w:val="C4B61A08"/>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E367103"/>
    <w:multiLevelType w:val="hybridMultilevel"/>
    <w:tmpl w:val="D8B2AE7A"/>
    <w:lvl w:ilvl="0" w:tplc="0409000B">
      <w:start w:val="1"/>
      <w:numFmt w:val="bullet"/>
      <w:lvlText w:val=""/>
      <w:lvlJc w:val="left"/>
      <w:pPr>
        <w:ind w:left="420" w:hanging="420"/>
      </w:pPr>
      <w:rPr>
        <w:rFonts w:ascii="Wingdings" w:hAnsi="Wingdings" w:hint="default"/>
      </w:rPr>
    </w:lvl>
    <w:lvl w:ilvl="1" w:tplc="04090009">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478C1562"/>
    <w:multiLevelType w:val="hybridMultilevel"/>
    <w:tmpl w:val="7CA689BE"/>
    <w:lvl w:ilvl="0" w:tplc="04090009">
      <w:start w:val="1"/>
      <w:numFmt w:val="bullet"/>
      <w:lvlText w:val=""/>
      <w:lvlJc w:val="left"/>
      <w:pPr>
        <w:ind w:left="1260" w:hanging="420"/>
      </w:pPr>
      <w:rPr>
        <w:rFonts w:ascii="Wingdings" w:hAnsi="Wingdings" w:hint="default"/>
      </w:rPr>
    </w:lvl>
    <w:lvl w:ilvl="1" w:tplc="0409000B">
      <w:start w:val="1"/>
      <w:numFmt w:val="bullet"/>
      <w:lvlText w:val=""/>
      <w:lvlJc w:val="left"/>
      <w:pPr>
        <w:ind w:left="1680" w:hanging="420"/>
      </w:pPr>
      <w:rPr>
        <w:rFonts w:ascii="Wingdings" w:hAnsi="Wingdings" w:hint="default"/>
      </w:rPr>
    </w:lvl>
    <w:lvl w:ilvl="2" w:tplc="0409000D">
      <w:start w:val="1"/>
      <w:numFmt w:val="bullet"/>
      <w:lvlText w:val=""/>
      <w:lvlJc w:val="left"/>
      <w:pPr>
        <w:ind w:left="2100" w:hanging="420"/>
      </w:pPr>
      <w:rPr>
        <w:rFonts w:ascii="Wingdings" w:hAnsi="Wingdings" w:hint="default"/>
      </w:rPr>
    </w:lvl>
    <w:lvl w:ilvl="3" w:tplc="7658A0BE">
      <w:start w:val="3"/>
      <w:numFmt w:val="bullet"/>
      <w:lvlText w:val="・"/>
      <w:lvlJc w:val="left"/>
      <w:pPr>
        <w:ind w:left="2460" w:hanging="360"/>
      </w:pPr>
      <w:rPr>
        <w:rFonts w:ascii="游明朝" w:eastAsia="游明朝" w:hAnsi="游明朝" w:cstheme="minorBidi" w:hint="eastAsia"/>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4" w15:restartNumberingAfterBreak="0">
    <w:nsid w:val="4E171FB2"/>
    <w:multiLevelType w:val="hybridMultilevel"/>
    <w:tmpl w:val="7542F59E"/>
    <w:lvl w:ilvl="0" w:tplc="DC38E84A">
      <w:start w:val="1"/>
      <w:numFmt w:val="lowerLetter"/>
      <w:lvlText w:val="%1."/>
      <w:lvlJc w:val="left"/>
      <w:pPr>
        <w:ind w:left="360" w:hanging="360"/>
      </w:pPr>
      <w:rPr>
        <w:rFonts w:hint="eastAsia"/>
      </w:rPr>
    </w:lvl>
    <w:lvl w:ilvl="1" w:tplc="4EE0767A">
      <w:start w:val="1"/>
      <w:numFmt w:val="decimalEnclosedCircle"/>
      <w:lvlText w:val="%2"/>
      <w:lvlJc w:val="left"/>
      <w:pPr>
        <w:ind w:left="780" w:hanging="360"/>
      </w:pPr>
      <w:rPr>
        <w:rFonts w:hint="eastAsia"/>
      </w:r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5E6063B2"/>
    <w:multiLevelType w:val="hybridMultilevel"/>
    <w:tmpl w:val="05446CCE"/>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6EF04753"/>
    <w:multiLevelType w:val="hybridMultilevel"/>
    <w:tmpl w:val="04102AF0"/>
    <w:lvl w:ilvl="0" w:tplc="0409000B">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7" w15:restartNumberingAfterBreak="0">
    <w:nsid w:val="7000762E"/>
    <w:multiLevelType w:val="hybridMultilevel"/>
    <w:tmpl w:val="49FEED6C"/>
    <w:lvl w:ilvl="0" w:tplc="0409000F">
      <w:start w:val="1"/>
      <w:numFmt w:val="decimal"/>
      <w:lvlText w:val="%1."/>
      <w:lvlJc w:val="left"/>
      <w:pPr>
        <w:ind w:left="1680" w:hanging="420"/>
      </w:pPr>
    </w:lvl>
    <w:lvl w:ilvl="1" w:tplc="04090017" w:tentative="1">
      <w:start w:val="1"/>
      <w:numFmt w:val="aiueoFullWidth"/>
      <w:lvlText w:val="(%2)"/>
      <w:lvlJc w:val="left"/>
      <w:pPr>
        <w:ind w:left="2100" w:hanging="420"/>
      </w:pPr>
    </w:lvl>
    <w:lvl w:ilvl="2" w:tplc="04090011" w:tentative="1">
      <w:start w:val="1"/>
      <w:numFmt w:val="decimalEnclosedCircle"/>
      <w:lvlText w:val="%3"/>
      <w:lvlJc w:val="left"/>
      <w:pPr>
        <w:ind w:left="2520" w:hanging="420"/>
      </w:pPr>
    </w:lvl>
    <w:lvl w:ilvl="3" w:tplc="0409000F" w:tentative="1">
      <w:start w:val="1"/>
      <w:numFmt w:val="decimal"/>
      <w:lvlText w:val="%4."/>
      <w:lvlJc w:val="left"/>
      <w:pPr>
        <w:ind w:left="2940" w:hanging="420"/>
      </w:pPr>
    </w:lvl>
    <w:lvl w:ilvl="4" w:tplc="04090017" w:tentative="1">
      <w:start w:val="1"/>
      <w:numFmt w:val="aiueoFullWidth"/>
      <w:lvlText w:val="(%5)"/>
      <w:lvlJc w:val="left"/>
      <w:pPr>
        <w:ind w:left="3360" w:hanging="420"/>
      </w:pPr>
    </w:lvl>
    <w:lvl w:ilvl="5" w:tplc="04090011" w:tentative="1">
      <w:start w:val="1"/>
      <w:numFmt w:val="decimalEnclosedCircle"/>
      <w:lvlText w:val="%6"/>
      <w:lvlJc w:val="left"/>
      <w:pPr>
        <w:ind w:left="3780" w:hanging="420"/>
      </w:pPr>
    </w:lvl>
    <w:lvl w:ilvl="6" w:tplc="0409000F" w:tentative="1">
      <w:start w:val="1"/>
      <w:numFmt w:val="decimal"/>
      <w:lvlText w:val="%7."/>
      <w:lvlJc w:val="left"/>
      <w:pPr>
        <w:ind w:left="4200" w:hanging="420"/>
      </w:pPr>
    </w:lvl>
    <w:lvl w:ilvl="7" w:tplc="04090017" w:tentative="1">
      <w:start w:val="1"/>
      <w:numFmt w:val="aiueoFullWidth"/>
      <w:lvlText w:val="(%8)"/>
      <w:lvlJc w:val="left"/>
      <w:pPr>
        <w:ind w:left="4620" w:hanging="420"/>
      </w:pPr>
    </w:lvl>
    <w:lvl w:ilvl="8" w:tplc="04090011" w:tentative="1">
      <w:start w:val="1"/>
      <w:numFmt w:val="decimalEnclosedCircle"/>
      <w:lvlText w:val="%9"/>
      <w:lvlJc w:val="left"/>
      <w:pPr>
        <w:ind w:left="5040" w:hanging="420"/>
      </w:pPr>
    </w:lvl>
  </w:abstractNum>
  <w:abstractNum w:abstractNumId="8" w15:restartNumberingAfterBreak="0">
    <w:nsid w:val="78EA6A1A"/>
    <w:multiLevelType w:val="hybridMultilevel"/>
    <w:tmpl w:val="571C36D6"/>
    <w:lvl w:ilvl="0" w:tplc="7658A0BE">
      <w:start w:val="3"/>
      <w:numFmt w:val="bullet"/>
      <w:lvlText w:val="・"/>
      <w:lvlJc w:val="left"/>
      <w:pPr>
        <w:ind w:left="1680" w:hanging="420"/>
      </w:pPr>
      <w:rPr>
        <w:rFonts w:ascii="游明朝" w:eastAsia="游明朝" w:hAnsi="游明朝" w:cstheme="minorBidi" w:hint="eastAsia"/>
      </w:rPr>
    </w:lvl>
    <w:lvl w:ilvl="1" w:tplc="0409000B" w:tentative="1">
      <w:start w:val="1"/>
      <w:numFmt w:val="bullet"/>
      <w:lvlText w:val=""/>
      <w:lvlJc w:val="left"/>
      <w:pPr>
        <w:ind w:left="2100" w:hanging="420"/>
      </w:pPr>
      <w:rPr>
        <w:rFonts w:ascii="Wingdings" w:hAnsi="Wingdings" w:hint="default"/>
      </w:rPr>
    </w:lvl>
    <w:lvl w:ilvl="2" w:tplc="0409000D"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B" w:tentative="1">
      <w:start w:val="1"/>
      <w:numFmt w:val="bullet"/>
      <w:lvlText w:val=""/>
      <w:lvlJc w:val="left"/>
      <w:pPr>
        <w:ind w:left="3360" w:hanging="420"/>
      </w:pPr>
      <w:rPr>
        <w:rFonts w:ascii="Wingdings" w:hAnsi="Wingdings" w:hint="default"/>
      </w:rPr>
    </w:lvl>
    <w:lvl w:ilvl="5" w:tplc="0409000D"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B" w:tentative="1">
      <w:start w:val="1"/>
      <w:numFmt w:val="bullet"/>
      <w:lvlText w:val=""/>
      <w:lvlJc w:val="left"/>
      <w:pPr>
        <w:ind w:left="4620" w:hanging="420"/>
      </w:pPr>
      <w:rPr>
        <w:rFonts w:ascii="Wingdings" w:hAnsi="Wingdings" w:hint="default"/>
      </w:rPr>
    </w:lvl>
    <w:lvl w:ilvl="8" w:tplc="0409000D" w:tentative="1">
      <w:start w:val="1"/>
      <w:numFmt w:val="bullet"/>
      <w:lvlText w:val=""/>
      <w:lvlJc w:val="left"/>
      <w:pPr>
        <w:ind w:left="5040" w:hanging="420"/>
      </w:pPr>
      <w:rPr>
        <w:rFonts w:ascii="Wingdings" w:hAnsi="Wingdings" w:hint="default"/>
      </w:rPr>
    </w:lvl>
  </w:abstractNum>
  <w:num w:numId="1">
    <w:abstractNumId w:val="1"/>
  </w:num>
  <w:num w:numId="2">
    <w:abstractNumId w:val="2"/>
  </w:num>
  <w:num w:numId="3">
    <w:abstractNumId w:val="3"/>
  </w:num>
  <w:num w:numId="4">
    <w:abstractNumId w:val="5"/>
  </w:num>
  <w:num w:numId="5">
    <w:abstractNumId w:val="0"/>
  </w:num>
  <w:num w:numId="6">
    <w:abstractNumId w:val="8"/>
  </w:num>
  <w:num w:numId="7">
    <w:abstractNumId w:val="7"/>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327"/>
    <w:rsid w:val="000B6731"/>
    <w:rsid w:val="00143C3C"/>
    <w:rsid w:val="00197C59"/>
    <w:rsid w:val="001D6BEF"/>
    <w:rsid w:val="00235DCB"/>
    <w:rsid w:val="00262E24"/>
    <w:rsid w:val="003B6090"/>
    <w:rsid w:val="003D0124"/>
    <w:rsid w:val="004546A2"/>
    <w:rsid w:val="004A1B88"/>
    <w:rsid w:val="005F24F0"/>
    <w:rsid w:val="007C7327"/>
    <w:rsid w:val="00852B22"/>
    <w:rsid w:val="008A36DF"/>
    <w:rsid w:val="008A7890"/>
    <w:rsid w:val="008B3A04"/>
    <w:rsid w:val="00914206"/>
    <w:rsid w:val="00933B49"/>
    <w:rsid w:val="00955FC5"/>
    <w:rsid w:val="00A77CCF"/>
    <w:rsid w:val="00AD06A1"/>
    <w:rsid w:val="00B60C84"/>
    <w:rsid w:val="00BD6523"/>
    <w:rsid w:val="00BE576A"/>
    <w:rsid w:val="00D13F60"/>
    <w:rsid w:val="00D71CF8"/>
    <w:rsid w:val="00D776A6"/>
    <w:rsid w:val="00E2165C"/>
    <w:rsid w:val="00E226AC"/>
    <w:rsid w:val="00FC31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867FB16"/>
  <w15:chartTrackingRefBased/>
  <w15:docId w15:val="{44B7CA1F-5EFF-4B36-B713-576F35AF3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2165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E576A"/>
    <w:pPr>
      <w:ind w:leftChars="400" w:left="840"/>
    </w:pPr>
  </w:style>
  <w:style w:type="character" w:styleId="a4">
    <w:name w:val="Placeholder Text"/>
    <w:basedOn w:val="a0"/>
    <w:uiPriority w:val="99"/>
    <w:semiHidden/>
    <w:rsid w:val="008B3A0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2245</TotalTime>
  <Pages>5</Pages>
  <Words>322</Words>
  <Characters>1836</Characters>
  <Application>Microsoft Office Word</Application>
  <DocSecurity>0</DocSecurity>
  <Lines>15</Lines>
  <Paragraphs>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 Ai</dc:creator>
  <cp:keywords/>
  <dc:description/>
  <cp:lastModifiedBy>Y Ai</cp:lastModifiedBy>
  <cp:revision>6</cp:revision>
  <dcterms:created xsi:type="dcterms:W3CDTF">2020-12-19T11:46:00Z</dcterms:created>
  <dcterms:modified xsi:type="dcterms:W3CDTF">2020-12-22T08:38:00Z</dcterms:modified>
</cp:coreProperties>
</file>