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F66A0" w14:textId="3BF628C5" w:rsidR="00167D87" w:rsidRDefault="00167D87" w:rsidP="00A04009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2.4</w:t>
      </w:r>
      <w:r>
        <w:rPr>
          <w:rFonts w:ascii="Times New Roman" w:eastAsia="ＭＳ 明朝" w:hAnsi="Times New Roman" w:cs="Times New Roman" w:hint="eastAsia"/>
        </w:rPr>
        <w:t>イールドカーブ調整・補外ツール</w:t>
      </w:r>
    </w:p>
    <w:p w14:paraId="36A9ED02" w14:textId="2177052E" w:rsidR="00167D87" w:rsidRDefault="00167D87" w:rsidP="00167D87">
      <w:pPr>
        <w:ind w:firstLineChars="100" w:firstLine="21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本ツールはイールドカーブ推計ツールで推計したイールドカーブに対して、</w:t>
      </w:r>
      <w:r>
        <w:rPr>
          <w:rFonts w:ascii="Times New Roman" w:eastAsia="ＭＳ 明朝" w:hAnsi="Times New Roman" w:cs="Times New Roman" w:hint="eastAsia"/>
        </w:rPr>
        <w:t>Smith-Wilson</w:t>
      </w:r>
      <w:r>
        <w:rPr>
          <w:rFonts w:ascii="Times New Roman" w:eastAsia="ＭＳ 明朝" w:hAnsi="Times New Roman" w:cs="Times New Roman" w:hint="eastAsia"/>
        </w:rPr>
        <w:t>法で補外をするツールである。なお、</w:t>
      </w:r>
      <w:r>
        <w:rPr>
          <w:rFonts w:ascii="Times New Roman" w:eastAsia="ＭＳ 明朝" w:hAnsi="Times New Roman" w:cs="Times New Roman" w:hint="eastAsia"/>
        </w:rPr>
        <w:t>2</w:t>
      </w:r>
      <w:r>
        <w:rPr>
          <w:rFonts w:ascii="Times New Roman" w:eastAsia="ＭＳ 明朝" w:hAnsi="Times New Roman" w:cs="Times New Roman"/>
        </w:rPr>
        <w:t>020</w:t>
      </w:r>
      <w:r>
        <w:rPr>
          <w:rFonts w:ascii="Times New Roman" w:eastAsia="ＭＳ 明朝" w:hAnsi="Times New Roman" w:cs="Times New Roman" w:hint="eastAsia"/>
        </w:rPr>
        <w:t>年</w:t>
      </w:r>
      <w:r>
        <w:rPr>
          <w:rFonts w:ascii="Times New Roman" w:eastAsia="ＭＳ 明朝" w:hAnsi="Times New Roman" w:cs="Times New Roman" w:hint="eastAsia"/>
        </w:rPr>
        <w:t>9</w:t>
      </w:r>
      <w:r>
        <w:rPr>
          <w:rFonts w:ascii="Times New Roman" w:eastAsia="ＭＳ 明朝" w:hAnsi="Times New Roman" w:cs="Times New Roman" w:hint="eastAsia"/>
        </w:rPr>
        <w:t>月現在、</w:t>
      </w:r>
      <w:r>
        <w:rPr>
          <w:rFonts w:ascii="Times New Roman" w:eastAsia="ＭＳ 明朝" w:hAnsi="Times New Roman" w:cs="Times New Roman" w:hint="eastAsia"/>
        </w:rPr>
        <w:t>JGB</w:t>
      </w:r>
      <w:r>
        <w:rPr>
          <w:rFonts w:ascii="Times New Roman" w:eastAsia="ＭＳ 明朝" w:hAnsi="Times New Roman" w:cs="Times New Roman" w:hint="eastAsia"/>
        </w:rPr>
        <w:t>のみ</w:t>
      </w:r>
      <w:r>
        <w:rPr>
          <w:rFonts w:ascii="Times New Roman" w:eastAsia="ＭＳ 明朝" w:hAnsi="Times New Roman" w:cs="Times New Roman" w:hint="eastAsia"/>
        </w:rPr>
        <w:t>Smith-Wilson</w:t>
      </w:r>
      <w:r>
        <w:rPr>
          <w:rFonts w:ascii="Times New Roman" w:eastAsia="ＭＳ 明朝" w:hAnsi="Times New Roman" w:cs="Times New Roman" w:hint="eastAsia"/>
        </w:rPr>
        <w:t>法を用いて補外している。</w:t>
      </w:r>
    </w:p>
    <w:p w14:paraId="17AE28BE" w14:textId="75892BC0" w:rsidR="001428EE" w:rsidRDefault="001428EE" w:rsidP="001428EE">
      <w:pPr>
        <w:ind w:firstLineChars="100" w:firstLine="21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また、</w:t>
      </w:r>
      <w:r>
        <w:rPr>
          <w:rFonts w:ascii="Times New Roman" w:eastAsia="ＭＳ 明朝" w:hAnsi="Times New Roman" w:cs="Times New Roman" w:hint="eastAsia"/>
        </w:rPr>
        <w:t>Smith</w:t>
      </w:r>
      <w:r>
        <w:rPr>
          <w:rFonts w:ascii="Times New Roman" w:eastAsia="ＭＳ 明朝" w:hAnsi="Times New Roman" w:cs="Times New Roman"/>
        </w:rPr>
        <w:t>-Wilso</w:t>
      </w:r>
      <w:r>
        <w:rPr>
          <w:rFonts w:ascii="Times New Roman" w:eastAsia="ＭＳ 明朝" w:hAnsi="Times New Roman" w:cs="Times New Roman" w:hint="eastAsia"/>
        </w:rPr>
        <w:t>n</w:t>
      </w:r>
      <w:r>
        <w:rPr>
          <w:rFonts w:ascii="Times New Roman" w:eastAsia="ＭＳ 明朝" w:hAnsi="Times New Roman" w:cs="Times New Roman" w:hint="eastAsia"/>
        </w:rPr>
        <w:t>法を実行する際、フォワードレートが一定値（</w:t>
      </w:r>
      <w:r>
        <w:rPr>
          <w:rFonts w:ascii="Times New Roman" w:eastAsia="ＭＳ 明朝" w:hAnsi="Times New Roman" w:cs="Times New Roman" w:hint="eastAsia"/>
        </w:rPr>
        <w:t>UFR</w:t>
      </w:r>
      <w:r>
        <w:rPr>
          <w:rFonts w:ascii="Times New Roman" w:eastAsia="ＭＳ 明朝" w:hAnsi="Times New Roman" w:cs="Times New Roman" w:hint="eastAsia"/>
        </w:rPr>
        <w:t>）へ収束するよう補外するが、</w:t>
      </w:r>
      <w:r>
        <w:rPr>
          <w:rFonts w:ascii="Times New Roman" w:eastAsia="ＭＳ 明朝" w:hAnsi="Times New Roman" w:cs="Times New Roman" w:hint="eastAsia"/>
        </w:rPr>
        <w:t>EEV</w:t>
      </w:r>
      <w:r>
        <w:rPr>
          <w:rFonts w:ascii="Times New Roman" w:eastAsia="ＭＳ 明朝" w:hAnsi="Times New Roman" w:cs="Times New Roman" w:hint="eastAsia"/>
        </w:rPr>
        <w:t>計測サポート案件においては</w:t>
      </w:r>
      <w:r>
        <w:rPr>
          <w:rFonts w:ascii="Times New Roman" w:eastAsia="ＭＳ 明朝" w:hAnsi="Times New Roman" w:cs="Times New Roman" w:hint="eastAsia"/>
        </w:rPr>
        <w:t>U</w:t>
      </w:r>
      <w:r>
        <w:rPr>
          <w:rFonts w:ascii="Times New Roman" w:eastAsia="ＭＳ 明朝" w:hAnsi="Times New Roman" w:cs="Times New Roman"/>
        </w:rPr>
        <w:t>FR</w:t>
      </w:r>
      <w:r>
        <w:rPr>
          <w:rFonts w:ascii="Times New Roman" w:eastAsia="ＭＳ 明朝" w:hAnsi="Times New Roman" w:cs="Times New Roman" w:hint="eastAsia"/>
        </w:rPr>
        <w:t>を３％としたシナリオと</w:t>
      </w:r>
      <w:r>
        <w:rPr>
          <w:rFonts w:ascii="Times New Roman" w:eastAsia="ＭＳ 明朝" w:hAnsi="Times New Roman" w:cs="Times New Roman" w:hint="eastAsia"/>
        </w:rPr>
        <w:t>3</w:t>
      </w:r>
      <w:r>
        <w:rPr>
          <w:rFonts w:ascii="Times New Roman" w:eastAsia="ＭＳ 明朝" w:hAnsi="Times New Roman" w:cs="Times New Roman"/>
        </w:rPr>
        <w:t>.5%</w:t>
      </w:r>
      <w:r>
        <w:rPr>
          <w:rFonts w:ascii="Times New Roman" w:eastAsia="ＭＳ 明朝" w:hAnsi="Times New Roman" w:cs="Times New Roman" w:hint="eastAsia"/>
        </w:rPr>
        <w:t>にしたシナリオを納品している。</w:t>
      </w:r>
    </w:p>
    <w:p w14:paraId="68840566" w14:textId="4A29312A" w:rsidR="00DD0288" w:rsidRDefault="00DD0288" w:rsidP="00DD0288">
      <w:pPr>
        <w:ind w:firstLineChars="100" w:firstLine="21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当該ツールは過去に感応度を計算するためのに使用していたようである</w:t>
      </w:r>
    </w:p>
    <w:p w14:paraId="0D2BF8B4" w14:textId="0763F141" w:rsidR="00DD0288" w:rsidRDefault="00DD0288" w:rsidP="002A5494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アルファの設定はどのように決めたのか</w:t>
      </w:r>
    </w:p>
    <w:p w14:paraId="7D5D5FDA" w14:textId="77777777" w:rsidR="00DD0288" w:rsidRDefault="00DD0288" w:rsidP="002A5494">
      <w:pPr>
        <w:rPr>
          <w:rFonts w:ascii="Times New Roman" w:eastAsia="ＭＳ 明朝" w:hAnsi="Times New Roman" w:cs="Times New Roman"/>
        </w:rPr>
      </w:pPr>
    </w:p>
    <w:p w14:paraId="21E5091D" w14:textId="3014AAF6" w:rsidR="00A04009" w:rsidRDefault="00A04009" w:rsidP="00A04009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2</w:t>
      </w:r>
      <w:r>
        <w:rPr>
          <w:rFonts w:ascii="Times New Roman" w:eastAsia="ＭＳ 明朝" w:hAnsi="Times New Roman" w:cs="Times New Roman"/>
        </w:rPr>
        <w:t xml:space="preserve">.4.1 </w:t>
      </w:r>
      <w:r w:rsidR="00192870">
        <w:rPr>
          <w:rFonts w:ascii="Times New Roman" w:eastAsia="ＭＳ 明朝" w:hAnsi="Times New Roman" w:cs="Times New Roman" w:hint="eastAsia"/>
        </w:rPr>
        <w:t xml:space="preserve">　</w:t>
      </w:r>
      <w:r>
        <w:rPr>
          <w:rFonts w:ascii="Times New Roman" w:eastAsia="ＭＳ 明朝" w:hAnsi="Times New Roman" w:cs="Times New Roman" w:hint="eastAsia"/>
        </w:rPr>
        <w:t>インプットとアウトプット</w:t>
      </w:r>
    </w:p>
    <w:p w14:paraId="6A9B59C6" w14:textId="2ACA8C0A" w:rsidR="00A04009" w:rsidRDefault="00A04009" w:rsidP="00A04009">
      <w:pPr>
        <w:ind w:firstLineChars="100" w:firstLine="21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インプットとしては、以下の</w:t>
      </w:r>
      <w:r>
        <w:rPr>
          <w:rFonts w:ascii="Times New Roman" w:eastAsia="ＭＳ 明朝" w:hAnsi="Times New Roman" w:cs="Times New Roman" w:hint="eastAsia"/>
        </w:rPr>
        <w:t>3</w:t>
      </w:r>
      <w:r>
        <w:rPr>
          <w:rFonts w:ascii="Times New Roman" w:eastAsia="ＭＳ 明朝" w:hAnsi="Times New Roman" w:cs="Times New Roman" w:hint="eastAsia"/>
        </w:rPr>
        <w:t>種類である。</w:t>
      </w:r>
    </w:p>
    <w:p w14:paraId="64D002A1" w14:textId="77777777" w:rsidR="00A04009" w:rsidRDefault="00A04009" w:rsidP="00A04009">
      <w:pPr>
        <w:pStyle w:val="a5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イールドカーブ推計ツールのアウトプットとして算出された、補間・補外後のイールド</w:t>
      </w:r>
    </w:p>
    <w:p w14:paraId="1B01C471" w14:textId="77777777" w:rsidR="00A04009" w:rsidRDefault="00A04009" w:rsidP="00A04009">
      <w:pPr>
        <w:pStyle w:val="a5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補外に関する設定（全通貨共通）</w:t>
      </w:r>
    </w:p>
    <w:p w14:paraId="2DD9D062" w14:textId="77777777" w:rsidR="00A04009" w:rsidRDefault="00A04009" w:rsidP="00A04009">
      <w:pPr>
        <w:pStyle w:val="a5"/>
        <w:numPr>
          <w:ilvl w:val="3"/>
          <w:numId w:val="1"/>
        </w:numPr>
        <w:ind w:leftChars="0" w:left="113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UFR</w:t>
      </w:r>
      <w:r>
        <w:rPr>
          <w:rFonts w:ascii="Times New Roman" w:eastAsia="ＭＳ 明朝" w:hAnsi="Times New Roman" w:cs="Times New Roman" w:hint="eastAsia"/>
        </w:rPr>
        <w:t>への到達時刻</w:t>
      </w:r>
    </w:p>
    <w:p w14:paraId="181C1553" w14:textId="77777777" w:rsidR="00A04009" w:rsidRDefault="00A04009" w:rsidP="00A04009">
      <w:pPr>
        <w:pStyle w:val="a5"/>
        <w:numPr>
          <w:ilvl w:val="3"/>
          <w:numId w:val="1"/>
        </w:numPr>
        <w:ind w:leftChars="0" w:left="113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許容乖離値</w:t>
      </w:r>
    </w:p>
    <w:p w14:paraId="086ABCD7" w14:textId="77777777" w:rsidR="00A04009" w:rsidRPr="007825DD" w:rsidRDefault="00A04009" w:rsidP="00A04009">
      <w:pPr>
        <w:pStyle w:val="a5"/>
        <w:numPr>
          <w:ilvl w:val="3"/>
          <w:numId w:val="1"/>
        </w:numPr>
        <w:ind w:leftChars="0" w:left="113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Smith</w:t>
      </w:r>
      <w:r>
        <w:rPr>
          <w:rFonts w:ascii="Times New Roman" w:eastAsia="ＭＳ 明朝" w:hAnsi="Times New Roman" w:cs="Times New Roman"/>
        </w:rPr>
        <w:t>-Wilson</w:t>
      </w:r>
      <w:r>
        <w:rPr>
          <w:rFonts w:ascii="Times New Roman" w:eastAsia="ＭＳ 明朝" w:hAnsi="Times New Roman" w:cs="Times New Roman" w:hint="eastAsia"/>
        </w:rPr>
        <w:t>法を用いた補外に必要な値（</w:t>
      </w:r>
      <m:oMath>
        <m:r>
          <w:rPr>
            <w:rFonts w:ascii="Cambria Math" w:eastAsia="ＭＳ 明朝" w:hAnsi="Cambria Math" w:cs="Times New Roman"/>
          </w:rPr>
          <m:t>α</m:t>
        </m:r>
      </m:oMath>
      <w:r>
        <w:rPr>
          <w:rFonts w:ascii="Times New Roman" w:eastAsia="ＭＳ 明朝" w:hAnsi="Times New Roman" w:cs="Times New Roman" w:hint="eastAsia"/>
        </w:rPr>
        <w:t>）の初期値、最大値、刻み幅</w:t>
      </w:r>
    </w:p>
    <w:p w14:paraId="01DB339D" w14:textId="77777777" w:rsidR="00A04009" w:rsidRDefault="00A04009" w:rsidP="00A04009">
      <w:pPr>
        <w:pStyle w:val="a5"/>
        <w:numPr>
          <w:ilvl w:val="0"/>
          <w:numId w:val="1"/>
        </w:numPr>
        <w:ind w:leftChars="0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補外に関する設定（通貨別）</w:t>
      </w:r>
    </w:p>
    <w:p w14:paraId="5157C7A7" w14:textId="77777777" w:rsidR="00A04009" w:rsidRDefault="00A04009" w:rsidP="00A04009">
      <w:pPr>
        <w:pStyle w:val="a5"/>
        <w:numPr>
          <w:ilvl w:val="3"/>
          <w:numId w:val="1"/>
        </w:numPr>
        <w:ind w:leftChars="0" w:left="113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補外の有無</w:t>
      </w:r>
    </w:p>
    <w:p w14:paraId="2F9345A9" w14:textId="77777777" w:rsidR="00A04009" w:rsidRDefault="00A04009" w:rsidP="00A04009">
      <w:pPr>
        <w:pStyle w:val="a5"/>
        <w:numPr>
          <w:ilvl w:val="3"/>
          <w:numId w:val="1"/>
        </w:numPr>
        <w:ind w:leftChars="0" w:left="113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市場データの最長年限（補外する通貨のみ）</w:t>
      </w:r>
    </w:p>
    <w:p w14:paraId="3FE435C4" w14:textId="77777777" w:rsidR="00A04009" w:rsidRDefault="00A04009" w:rsidP="00A04009">
      <w:pPr>
        <w:pStyle w:val="a5"/>
        <w:numPr>
          <w:ilvl w:val="3"/>
          <w:numId w:val="1"/>
        </w:numPr>
        <w:ind w:leftChars="0" w:left="1134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終局金利（</w:t>
      </w:r>
      <w:r>
        <w:rPr>
          <w:rFonts w:ascii="Times New Roman" w:eastAsia="ＭＳ 明朝" w:hAnsi="Times New Roman" w:cs="Times New Roman" w:hint="eastAsia"/>
        </w:rPr>
        <w:t>UFR</w:t>
      </w:r>
      <w:r>
        <w:rPr>
          <w:rFonts w:ascii="Times New Roman" w:eastAsia="ＭＳ 明朝" w:hAnsi="Times New Roman" w:cs="Times New Roman" w:hint="eastAsia"/>
        </w:rPr>
        <w:t>）</w:t>
      </w:r>
    </w:p>
    <w:p w14:paraId="6FED3135" w14:textId="78B35A69" w:rsidR="00C03DED" w:rsidRDefault="00A04009" w:rsidP="00C03DED">
      <w:pPr>
        <w:ind w:firstLineChars="100" w:firstLine="210"/>
      </w:pPr>
      <w:r>
        <w:rPr>
          <w:rFonts w:hint="eastAsia"/>
        </w:rPr>
        <w:t>一方でアウトプットとしては、</w:t>
      </w:r>
      <w:r w:rsidR="005269DA">
        <w:rPr>
          <w:rFonts w:hint="eastAsia"/>
        </w:rPr>
        <w:t>各通貨（JPY、U</w:t>
      </w:r>
      <w:r w:rsidR="005269DA">
        <w:t>SD</w:t>
      </w:r>
      <w:r w:rsidR="005269DA">
        <w:rPr>
          <w:rFonts w:hint="eastAsia"/>
        </w:rPr>
        <w:t>、EUR、AUD、JGB）の補外されたイールドカーブとそのフォワードレート</w:t>
      </w:r>
      <w:r w:rsidR="00C03DED">
        <w:rPr>
          <w:rFonts w:hint="eastAsia"/>
        </w:rPr>
        <w:t>である。</w:t>
      </w:r>
    </w:p>
    <w:p w14:paraId="348BE95B" w14:textId="76841947" w:rsidR="00C03DED" w:rsidRDefault="00C03DED" w:rsidP="00C03DED">
      <w:pPr>
        <w:ind w:firstLineChars="100" w:firstLine="210"/>
      </w:pPr>
    </w:p>
    <w:p w14:paraId="606FA44A" w14:textId="4DCA2C88" w:rsidR="00A30875" w:rsidRDefault="00C03DED" w:rsidP="00A30875">
      <w:r>
        <w:rPr>
          <w:rFonts w:hint="eastAsia"/>
        </w:rPr>
        <w:t>2</w:t>
      </w:r>
      <w:r>
        <w:t>.4.2</w:t>
      </w:r>
      <w:r>
        <w:rPr>
          <w:rFonts w:hint="eastAsia"/>
        </w:rPr>
        <w:t xml:space="preserve">　使用ロジック</w:t>
      </w:r>
    </w:p>
    <w:p w14:paraId="40C0F28F" w14:textId="760F598A" w:rsidR="003C4DAB" w:rsidRDefault="003C4DAB" w:rsidP="003C4DAB">
      <w:pPr>
        <w:ind w:firstLineChars="100" w:firstLine="210"/>
      </w:pPr>
      <w:r>
        <w:rPr>
          <w:rFonts w:hint="eastAsia"/>
        </w:rPr>
        <w:t>本節では、イールドカーブ調整・補外ツールで使用しているSmith</w:t>
      </w:r>
      <w:r>
        <w:t>-Wilson</w:t>
      </w:r>
      <w:r>
        <w:rPr>
          <w:rFonts w:hint="eastAsia"/>
        </w:rPr>
        <w:t>法について説明する。以下では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、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を以下の式で定義する。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3C4DAB" w14:paraId="42C5E938" w14:textId="77777777" w:rsidTr="00372304">
        <w:tc>
          <w:tcPr>
            <w:tcW w:w="779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5AFAE676" w14:textId="037148CF" w:rsidR="003C4DAB" w:rsidRDefault="001F49A7" w:rsidP="003C4DAB">
            <w:pPr>
              <w:ind w:firstLineChars="100" w:firstLine="21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=j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         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j=1,2,…,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6681A4D" w14:textId="77777777" w:rsidR="003C4DAB" w:rsidRDefault="003C4DAB" w:rsidP="003C4DAB"/>
        </w:tc>
      </w:tr>
    </w:tbl>
    <w:p w14:paraId="79C13286" w14:textId="230F4127" w:rsidR="003C4DAB" w:rsidRDefault="003C4DAB" w:rsidP="003C4DAB">
      <w:pPr>
        <w:ind w:firstLineChars="100" w:firstLine="210"/>
      </w:pPr>
      <w:r>
        <w:rPr>
          <w:rFonts w:hint="eastAsia"/>
        </w:rPr>
        <w:t>S</w:t>
      </w:r>
      <w:r>
        <w:t>mith-Wilson</w:t>
      </w:r>
      <w:r>
        <w:rPr>
          <w:rFonts w:hint="eastAsia"/>
        </w:rPr>
        <w:t>法では時点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を満期とする割引債価格（時点</w:t>
      </w:r>
      <m:oMath>
        <m:r>
          <w:rPr>
            <w:rFonts w:ascii="Cambria Math" w:hAnsi="Cambria Math"/>
          </w:rPr>
          <m:t>t</m:t>
        </m:r>
      </m:oMath>
      <w:r>
        <w:rPr>
          <w:rFonts w:hint="eastAsia"/>
        </w:rPr>
        <w:t>に対するディスカウントファクター）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は以下の式で求められる。</w:t>
      </w:r>
    </w:p>
    <w:p w14:paraId="2823421F" w14:textId="77777777" w:rsidR="00372304" w:rsidRDefault="00372304" w:rsidP="003C4DAB">
      <w:pPr>
        <w:ind w:firstLineChars="100" w:firstLine="21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372304" w14:paraId="08842CD1" w14:textId="77777777" w:rsidTr="00A039C5">
        <w:tc>
          <w:tcPr>
            <w:tcW w:w="779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9703D4A" w14:textId="07500442" w:rsidR="00372304" w:rsidRDefault="001F49A7" w:rsidP="00A039C5">
            <w:pPr>
              <w:ind w:firstLineChars="100" w:firstLine="200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-UF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⋅t</m:t>
                    </m:r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j=1</m:t>
                    </m:r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p>
                    </m:sSup>
                  </m:sup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⋅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W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</m:sSub>
                      </m:e>
                    </m:d>
                  </m:e>
                </m:nary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0"/>
                    <w:szCs w:val="20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0"/>
                        <w:szCs w:val="20"/>
                      </w:rPr>
                      <m:t>W</m:t>
                    </m:r>
                    <m:ctrlPr>
                      <w:rPr>
                        <w:rFonts w:ascii="Cambria Math" w:hAnsi="Cambria Math" w:hint="eastAsia"/>
                        <w:i/>
                        <w:sz w:val="20"/>
                        <w:szCs w:val="20"/>
                      </w:rPr>
                    </m:ctrlP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j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-UF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⋅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c</m:t>
                            </m:r>
                          </m:sup>
                        </m:sSubSup>
                      </m:e>
                    </m:d>
                  </m:sup>
                </m:sSup>
                <m:r>
                  <w:rPr>
                    <w:rFonts w:ascii="Cambria Math" w:hAnsi="Cambria Math"/>
                    <w:sz w:val="20"/>
                    <w:szCs w:val="20"/>
                  </w:rPr>
                  <m:t>⋅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α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⋅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min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t,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-0.5⋅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e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α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c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⋅</m:t>
                            </m:r>
                            <m:func>
                              <m:fun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funcPr>
                              <m:fNam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max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fName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t,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u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c</m:t>
                                        </m:r>
                                      </m:sup>
                                    </m:sSubSup>
                                  </m:e>
                                </m:d>
                              </m:e>
                            </m:func>
                          </m:sup>
                        </m:s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t,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func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e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α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c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⋅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min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Name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sz w:val="20"/>
                                            <w:szCs w:val="20"/>
                                          </w:rPr>
                                          <m:t>t,</m:t>
                                        </m:r>
                                        <m:sSubSup>
                                          <m:sSubSup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sSubSup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u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j</m:t>
                                            </m:r>
                                          </m:sub>
                                          <m:sup>
                                            <m:r>
                                              <w:rPr>
                                                <w:rFonts w:ascii="Cambria Math" w:hAnsi="Cambria Math"/>
                                                <w:sz w:val="20"/>
                                                <w:szCs w:val="20"/>
                                              </w:rPr>
                                              <m:t>c</m:t>
                                            </m:r>
                                          </m:sup>
                                        </m:sSubSup>
                                      </m:e>
                                    </m:d>
                                  </m:e>
                                </m:func>
                              </m:sup>
                            </m:sSup>
                          </m:e>
                        </m:d>
                      </m:e>
                    </m:func>
                  </m:e>
                </m:d>
              </m:oMath>
            </m:oMathPara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1EC123A" w14:textId="77777777" w:rsidR="00372304" w:rsidRDefault="00372304" w:rsidP="00A039C5"/>
        </w:tc>
      </w:tr>
    </w:tbl>
    <w:p w14:paraId="1A34C8FD" w14:textId="6F6F26A5" w:rsidR="003C4DAB" w:rsidRDefault="00E76C6F" w:rsidP="003B5519">
      <w:pPr>
        <w:ind w:firstLineChars="100" w:firstLine="210"/>
      </w:pPr>
      <w:r>
        <w:rPr>
          <w:rFonts w:hint="eastAsia"/>
        </w:rPr>
        <w:t>ここで、</w:t>
      </w:r>
      <m:oMath>
        <m:r>
          <w:rPr>
            <w:rFonts w:ascii="Cambria Math" w:hAnsi="Cambria Math"/>
          </w:rPr>
          <m:t>UF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は各通貨及びJGBのイールドカーブ対する終局金利を表す。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は市場から取得できる割引債価格とSmith</w:t>
      </w:r>
      <w:r>
        <w:t>-Wilson</w:t>
      </w:r>
      <w:r>
        <w:rPr>
          <w:rFonts w:hint="eastAsia"/>
        </w:rPr>
        <w:t>法によって計算される割引債価格を整合させるためのパラメータであ</w:t>
      </w:r>
      <w:r w:rsidR="003B5519">
        <w:rPr>
          <w:rFonts w:hint="eastAsia"/>
        </w:rPr>
        <w:t>り、</w:t>
      </w:r>
      <w:r w:rsidR="005F3958">
        <w:rPr>
          <w:rFonts w:hint="eastAsia"/>
        </w:rPr>
        <w:t>市場から取得できる満期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F3958">
        <w:rPr>
          <w:rFonts w:hint="eastAsia"/>
        </w:rPr>
        <w:t>の割引債の時価を 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</m:oMath>
      <w:r w:rsidR="005F3958">
        <w:rPr>
          <w:rFonts w:hint="eastAsia"/>
        </w:rPr>
        <w:t>として、以下のように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5F3958">
        <w:rPr>
          <w:rFonts w:hint="eastAsia"/>
        </w:rPr>
        <w:t>を求める。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5F3958" w14:paraId="5FC21EE3" w14:textId="77777777" w:rsidTr="00A039C5">
        <w:tc>
          <w:tcPr>
            <w:tcW w:w="779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9244EF9" w14:textId="0FAD06DD" w:rsidR="005F3958" w:rsidRPr="005F3958" w:rsidRDefault="001F49A7" w:rsidP="00A039C5">
            <w:pPr>
              <w:ind w:firstLineChars="100" w:firstLine="206"/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 -1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μ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14:paraId="0407440D" w14:textId="09F382D9" w:rsidR="005F3958" w:rsidRPr="005F3958" w:rsidRDefault="005F3958" w:rsidP="0018371D">
            <w:r>
              <w:br/>
            </w: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-UF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-UF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e</m:t>
                            </m:r>
                            <m:ctrlPr>
                              <w:rPr>
                                <w:rFonts w:ascii="Cambria Math" w:hAnsi="Cambria Math"/>
                                <w:iCs/>
                              </w:rPr>
                            </m:ctrlP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-UF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p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bSup>
                          </m:sup>
                        </m:sSup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⋱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⋮</m:t>
                          </m:r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,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</m:mr>
                    </m:m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w:br/>
                </m:r>
              </m:oMath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Cs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,…,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</m:t>
                    </m:r>
                  </m:sup>
                </m:sSup>
              </m:oMath>
            </m:oMathPara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25CA5F98" w14:textId="77777777" w:rsidR="005F3958" w:rsidRDefault="005F3958" w:rsidP="00A039C5"/>
        </w:tc>
      </w:tr>
    </w:tbl>
    <w:p w14:paraId="043FBF7B" w14:textId="77777777" w:rsidR="00054BCF" w:rsidRDefault="003B5519" w:rsidP="00054BCF">
      <w:pPr>
        <w:ind w:firstLineChars="100" w:firstLine="210"/>
        <w:rPr>
          <w:iCs/>
        </w:rPr>
      </w:pPr>
      <w:r>
        <w:rPr>
          <w:rFonts w:hint="eastAsia"/>
          <w:iCs/>
        </w:rPr>
        <w:t>また、（）式に含まれる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については以下の手順で</w:t>
      </w:r>
      <w:r w:rsidR="00054BCF">
        <w:rPr>
          <w:rFonts w:hint="eastAsia"/>
          <w:iCs/>
        </w:rPr>
        <w:t>推定する。</w:t>
      </w:r>
    </w:p>
    <w:p w14:paraId="562836BA" w14:textId="26BD57C5" w:rsidR="0003352D" w:rsidRDefault="0003352D" w:rsidP="0003352D">
      <w:pPr>
        <w:pStyle w:val="a5"/>
        <w:numPr>
          <w:ilvl w:val="0"/>
          <w:numId w:val="4"/>
        </w:numPr>
        <w:ind w:leftChars="0"/>
        <w:rPr>
          <w:iCs/>
        </w:rPr>
      </w:pPr>
      <w:r>
        <w:rPr>
          <w:rFonts w:hint="eastAsia"/>
          <w:iCs/>
        </w:rPr>
        <w:t>ツールのインプットとして入力した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の初期値を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  <w:r>
        <w:rPr>
          <w:rFonts w:hint="eastAsia"/>
          <w:iCs/>
        </w:rPr>
        <w:t>とし、</w:t>
      </w:r>
      <m:oMath>
        <m:r>
          <w:rPr>
            <w:rFonts w:ascii="Cambria Math" w:hAnsi="Cambria Math"/>
          </w:rPr>
          <m:t>α=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ini</m:t>
            </m:r>
          </m:sub>
        </m:sSub>
      </m:oMath>
      <w:r>
        <w:rPr>
          <w:rFonts w:hint="eastAsia"/>
          <w:iCs/>
        </w:rPr>
        <w:t>と置く。</w:t>
      </w:r>
    </w:p>
    <w:p w14:paraId="48DCE99F" w14:textId="0ED47AE9" w:rsidR="0003352D" w:rsidRPr="00A039C5" w:rsidRDefault="0003352D" w:rsidP="0003352D">
      <w:pPr>
        <w:pStyle w:val="a5"/>
        <w:numPr>
          <w:ilvl w:val="0"/>
          <w:numId w:val="4"/>
        </w:numPr>
        <w:ind w:leftChars="0"/>
        <w:rPr>
          <w:iCs/>
        </w:rPr>
      </w:pPr>
      <w:bookmarkStart w:id="0" w:name="_Ref52101905"/>
      <m:oMath>
        <m:r>
          <w:rPr>
            <w:rFonts w:ascii="Cambria Math" w:eastAsia="ＭＳ 明朝" w:hAnsi="Cambria Math" w:cs="Times New Roman"/>
          </w:rPr>
          <m:t>UF</m:t>
        </m:r>
        <m:sSup>
          <m:sSupPr>
            <m:ctrlPr>
              <w:rPr>
                <w:rFonts w:ascii="Cambria Math" w:eastAsia="ＭＳ 明朝" w:hAnsi="Cambria Math" w:cs="Times New Roman"/>
                <w:i/>
              </w:rPr>
            </m:ctrlPr>
          </m:sSupPr>
          <m:e>
            <m:r>
              <w:rPr>
                <w:rFonts w:ascii="Cambria Math" w:eastAsia="ＭＳ 明朝" w:hAnsi="Cambria Math" w:cs="Times New Roman"/>
              </w:rPr>
              <m:t>R</m:t>
            </m:r>
          </m:e>
          <m:sup>
            <m:r>
              <w:rPr>
                <w:rFonts w:ascii="Cambria Math" w:eastAsia="ＭＳ 明朝" w:hAnsi="Cambria Math" w:cs="Times New Roman"/>
              </w:rPr>
              <m:t>c</m:t>
            </m:r>
          </m:sup>
        </m:sSup>
      </m:oMath>
      <w:r>
        <w:rPr>
          <w:rFonts w:ascii="Times New Roman" w:eastAsia="ＭＳ 明朝" w:hAnsi="Times New Roman" w:cs="Times New Roman" w:hint="eastAsia"/>
        </w:rPr>
        <w:t>への到達時刻を</w:t>
      </w:r>
      <m:oMath>
        <m:r>
          <w:rPr>
            <w:rFonts w:ascii="Cambria Math" w:eastAsia="ＭＳ 明朝" w:hAnsi="Cambria Math" w:cs="Times New Roman"/>
          </w:rPr>
          <m:t>RT</m:t>
        </m:r>
      </m:oMath>
      <w:r>
        <w:rPr>
          <w:rFonts w:ascii="Times New Roman" w:eastAsia="ＭＳ 明朝" w:hAnsi="Times New Roman" w:cs="Times New Roman" w:hint="eastAsia"/>
        </w:rPr>
        <w:t>と記載し、</w:t>
      </w:r>
      <w:r w:rsidR="00A039C5">
        <w:rPr>
          <w:rFonts w:ascii="Times New Roman" w:eastAsia="ＭＳ 明朝" w:hAnsi="Times New Roman" w:cs="Times New Roman" w:hint="eastAsia"/>
        </w:rPr>
        <w:t>割引債の価格式</w:t>
      </w:r>
      <w:r w:rsidR="00A039C5">
        <w:rPr>
          <w:rFonts w:ascii="Times New Roman" w:eastAsia="ＭＳ 明朝" w:hAnsi="Times New Roman" w:cs="Times New Roman" w:hint="eastAsia"/>
        </w:rPr>
        <w:t>(</w:t>
      </w:r>
      <w:r w:rsidR="00A039C5">
        <w:rPr>
          <w:rFonts w:ascii="Times New Roman" w:eastAsia="ＭＳ 明朝" w:hAnsi="Times New Roman" w:cs="Times New Roman"/>
        </w:rPr>
        <w:t>)</w:t>
      </w:r>
      <w:r w:rsidR="00A039C5">
        <w:rPr>
          <w:rFonts w:ascii="Times New Roman" w:eastAsia="ＭＳ 明朝" w:hAnsi="Times New Roman" w:cs="Times New Roman" w:hint="eastAsia"/>
        </w:rPr>
        <w:t>を用いた</w:t>
      </w:r>
      <w:r>
        <w:rPr>
          <w:rFonts w:ascii="Times New Roman" w:eastAsia="ＭＳ 明朝" w:hAnsi="Times New Roman" w:cs="Times New Roman" w:hint="eastAsia"/>
        </w:rPr>
        <w:t>以下の式により時点</w:t>
      </w:r>
      <m:oMath>
        <m:d>
          <m:dPr>
            <m:ctrlPr>
              <w:rPr>
                <w:rFonts w:ascii="Cambria Math" w:eastAsia="ＭＳ 明朝" w:hAnsi="Cambria Math" w:cs="Times New Roman"/>
                <w:i/>
              </w:rPr>
            </m:ctrlPr>
          </m:dPr>
          <m:e>
            <m:r>
              <w:rPr>
                <w:rFonts w:ascii="Cambria Math" w:eastAsia="ＭＳ 明朝" w:hAnsi="Cambria Math" w:cs="Times New Roman"/>
              </w:rPr>
              <m:t>RT-</m:t>
            </m:r>
            <m:sSup>
              <m:sSupPr>
                <m:ctrlPr>
                  <w:rPr>
                    <w:rFonts w:ascii="Cambria Math" w:eastAsia="ＭＳ 明朝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="ＭＳ 明朝" w:hAnsi="Cambria Math" w:cs="Times New Roman"/>
                  </w:rPr>
                  <m:t>δ</m:t>
                </m:r>
              </m:e>
              <m:sup>
                <m:r>
                  <w:rPr>
                    <w:rFonts w:ascii="Cambria Math" w:eastAsia="ＭＳ 明朝" w:hAnsi="Cambria Math" w:cs="Times New Roman"/>
                  </w:rPr>
                  <m:t>c</m:t>
                </m:r>
              </m:sup>
            </m:sSup>
          </m:e>
        </m:d>
      </m:oMath>
      <w:r>
        <w:rPr>
          <w:rFonts w:ascii="Times New Roman" w:eastAsia="ＭＳ 明朝" w:hAnsi="Times New Roman" w:cs="Times New Roman" w:hint="eastAsia"/>
        </w:rPr>
        <w:t>における</w:t>
      </w:r>
      <m:oMath>
        <m:sSup>
          <m:sSupPr>
            <m:ctrlPr>
              <w:rPr>
                <w:rFonts w:ascii="Cambria Math" w:eastAsia="ＭＳ 明朝" w:hAnsi="Cambria Math" w:cs="Times New Roman"/>
                <w:i/>
              </w:rPr>
            </m:ctrlPr>
          </m:sSupPr>
          <m:e>
            <m:r>
              <w:rPr>
                <w:rFonts w:ascii="Cambria Math" w:eastAsia="ＭＳ 明朝" w:hAnsi="Cambria Math" w:cs="Times New Roman"/>
              </w:rPr>
              <m:t>δ</m:t>
            </m:r>
          </m:e>
          <m:sup>
            <m:r>
              <w:rPr>
                <w:rFonts w:ascii="Cambria Math" w:eastAsia="ＭＳ 明朝" w:hAnsi="Cambria Math" w:cs="Times New Roman"/>
              </w:rPr>
              <m:t>c</m:t>
            </m:r>
          </m:sup>
        </m:sSup>
      </m:oMath>
      <w:r>
        <w:rPr>
          <w:rFonts w:ascii="Times New Roman" w:eastAsia="ＭＳ 明朝" w:hAnsi="Times New Roman" w:cs="Times New Roman" w:hint="eastAsia"/>
        </w:rPr>
        <w:t>年フォワードレートを計算する。</w:t>
      </w:r>
      <w:bookmarkEnd w:id="0"/>
    </w:p>
    <w:tbl>
      <w:tblPr>
        <w:tblStyle w:val="ac"/>
        <w:tblpPr w:leftFromText="142" w:rightFromText="142" w:vertAnchor="text" w:horzAnchor="page" w:tblpX="2161" w:tblpY="154"/>
        <w:tblW w:w="8083" w:type="dxa"/>
        <w:tblLook w:val="04A0" w:firstRow="1" w:lastRow="0" w:firstColumn="1" w:lastColumn="0" w:noHBand="0" w:noVBand="1"/>
      </w:tblPr>
      <w:tblGrid>
        <w:gridCol w:w="7381"/>
        <w:gridCol w:w="702"/>
      </w:tblGrid>
      <w:tr w:rsidR="00A039C5" w14:paraId="7F42A20D" w14:textId="77777777" w:rsidTr="00A039C5">
        <w:trPr>
          <w:trHeight w:val="769"/>
        </w:trPr>
        <w:tc>
          <w:tcPr>
            <w:tcW w:w="73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C652656" w14:textId="5BB3E461" w:rsidR="00A039C5" w:rsidRDefault="00A039C5" w:rsidP="00A039C5">
            <w:pPr>
              <w:ind w:firstLineChars="100" w:firstLine="210"/>
            </w:pPr>
            <m:oMathPara>
              <m:oMath>
                <m:r>
                  <w:rPr>
                    <w:rFonts w:ascii="Cambria Math" w:hAnsi="Cambria Math"/>
                  </w:rPr>
                  <m:t>Fw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RT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RT</m:t>
                            </m:r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RT-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δ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sup>
                            </m:sSup>
                          </m:e>
                        </m:d>
                      </m:den>
                    </m:f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oMath>
            </m:oMathPara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F7CBBEF" w14:textId="77777777" w:rsidR="00A039C5" w:rsidRDefault="00A039C5" w:rsidP="00A039C5"/>
        </w:tc>
      </w:tr>
    </w:tbl>
    <w:p w14:paraId="2327B9C8" w14:textId="77777777" w:rsidR="00345B0D" w:rsidRPr="00A039C5" w:rsidRDefault="00345B0D" w:rsidP="00345B0D">
      <w:pPr>
        <w:pStyle w:val="a5"/>
        <w:numPr>
          <w:ilvl w:val="0"/>
          <w:numId w:val="4"/>
        </w:numPr>
        <w:ind w:leftChars="0"/>
        <w:rPr>
          <w:iCs/>
        </w:rPr>
      </w:pPr>
      <m:oMath>
        <m:r>
          <w:rPr>
            <w:rFonts w:ascii="Cambria Math" w:hAnsi="Cambria Math" w:hint="eastAsia"/>
          </w:rPr>
          <m:t>Fw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d</m:t>
            </m:r>
            <m:ctrlPr>
              <w:rPr>
                <w:rFonts w:ascii="Cambria Math" w:hAnsi="Cambria Math" w:hint="eastAsia"/>
                <w:i/>
                <w:iCs/>
              </w:rPr>
            </m:ctrlPr>
          </m:e>
          <m:sup>
            <m:r>
              <w:rPr>
                <w:rFonts w:ascii="Cambria Math" w:hAnsi="Cambria Math"/>
              </w:rPr>
              <m:t>c</m:t>
            </m:r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RT</m:t>
            </m:r>
          </m:e>
        </m:d>
      </m:oMath>
      <w:r>
        <w:rPr>
          <w:rFonts w:hint="eastAsia"/>
          <w:iCs/>
        </w:rPr>
        <w:t>に合わせ、</w:t>
      </w:r>
      <m:oMath>
        <m:r>
          <w:rPr>
            <w:rFonts w:ascii="Cambria Math" w:hAnsi="Cambria Math"/>
          </w:rPr>
          <m:t>UF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  <w:iCs/>
        </w:rPr>
        <w:t>も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  <w:iCs/>
        </w:rPr>
        <w:t>年複利に変換した値</w:t>
      </w:r>
      <m:oMath>
        <m:r>
          <w:rPr>
            <w:rFonts w:ascii="Cambria Math" w:hAnsi="Cambria Math"/>
          </w:rPr>
          <m:t>UF</m:t>
        </m:r>
        <m:sSubSup>
          <m:sSubSupPr>
            <m:ctrlPr>
              <w:rPr>
                <w:rFonts w:ascii="Cambria Math" w:hAnsi="Cambria Math"/>
                <w:i/>
                <w:iCs/>
              </w:rPr>
            </m:ctrlPr>
          </m:sSubSup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0.5Y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  <w:iCs/>
        </w:rPr>
        <w:t>を計算し(</w:t>
      </w:r>
      <w:r>
        <w:rPr>
          <w:iCs/>
        </w:rPr>
        <w:t>)</w:t>
      </w:r>
      <w:r>
        <w:rPr>
          <w:rFonts w:hint="eastAsia"/>
          <w:iCs/>
        </w:rPr>
        <w:t>式との差の絶対値を計算する。</w:t>
      </w:r>
    </w:p>
    <w:tbl>
      <w:tblPr>
        <w:tblStyle w:val="ac"/>
        <w:tblpPr w:leftFromText="142" w:rightFromText="142" w:vertAnchor="text" w:horzAnchor="page" w:tblpX="2161" w:tblpY="154"/>
        <w:tblW w:w="8083" w:type="dxa"/>
        <w:tblLook w:val="04A0" w:firstRow="1" w:lastRow="0" w:firstColumn="1" w:lastColumn="0" w:noHBand="0" w:noVBand="1"/>
      </w:tblPr>
      <w:tblGrid>
        <w:gridCol w:w="7381"/>
        <w:gridCol w:w="702"/>
      </w:tblGrid>
      <w:tr w:rsidR="00345B0D" w14:paraId="28837D16" w14:textId="77777777" w:rsidTr="008B3248">
        <w:trPr>
          <w:trHeight w:val="769"/>
        </w:trPr>
        <w:tc>
          <w:tcPr>
            <w:tcW w:w="7381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DBA531C" w14:textId="77777777" w:rsidR="009342C4" w:rsidRPr="009342C4" w:rsidRDefault="001F49A7" w:rsidP="00345B0D"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UF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0.5Y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-Fw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RT</m:t>
                        </m:r>
                      </m:e>
                    </m:d>
                  </m:e>
                </m:d>
              </m:oMath>
            </m:oMathPara>
          </w:p>
          <w:p w14:paraId="460F004D" w14:textId="045EAFB3" w:rsidR="009342C4" w:rsidRPr="009342C4" w:rsidRDefault="009342C4" w:rsidP="00345B0D">
            <m:oMathPara>
              <m:oMath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ただし</m:t>
                </m:r>
                <m:r>
                  <w:rPr>
                    <w:rFonts w:ascii="Cambria Math" w:hAnsi="Cambria Math"/>
                  </w:rPr>
                  <m:t xml:space="preserve"> UF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0.5Y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1+UF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</m:e>
                    </m:d>
                  </m:e>
                  <m: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p>
                    </m:sSup>
                  </m:sup>
                </m:sSup>
                <m:r>
                  <w:rPr>
                    <w:rFonts w:ascii="Cambria Math" w:hAnsi="Cambria Math"/>
                  </w:rPr>
                  <m:t>-1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とする。</m:t>
                </m:r>
              </m:oMath>
            </m:oMathPara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88B7139" w14:textId="77777777" w:rsidR="00345B0D" w:rsidRDefault="00345B0D" w:rsidP="008B3248"/>
        </w:tc>
      </w:tr>
    </w:tbl>
    <w:p w14:paraId="087BEDE0" w14:textId="5CC92ECB" w:rsidR="00A039C5" w:rsidRDefault="009342C4" w:rsidP="00A039C5">
      <w:pPr>
        <w:pStyle w:val="a5"/>
        <w:numPr>
          <w:ilvl w:val="0"/>
          <w:numId w:val="4"/>
        </w:numPr>
        <w:ind w:leftChars="0"/>
        <w:rPr>
          <w:iCs/>
        </w:rPr>
      </w:pPr>
      <w:r>
        <w:rPr>
          <w:rFonts w:hint="eastAsia"/>
          <w:iCs/>
        </w:rPr>
        <w:t>(</w:t>
      </w:r>
      <w:r>
        <w:rPr>
          <w:iCs/>
        </w:rPr>
        <w:t>)</w:t>
      </w:r>
      <w:r>
        <w:rPr>
          <w:rFonts w:hint="eastAsia"/>
          <w:iCs/>
        </w:rPr>
        <w:t>式の値がツールのインプットである許容乖離値を下回る場合、その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を収束結果として返し、そうでない場合は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に刻み幅を加え、</w:t>
      </w:r>
      <w:r>
        <w:rPr>
          <w:iCs/>
        </w:rPr>
        <w:fldChar w:fldCharType="begin"/>
      </w:r>
      <w:r>
        <w:rPr>
          <w:iCs/>
        </w:rPr>
        <w:instrText xml:space="preserve"> </w:instrText>
      </w:r>
      <w:r>
        <w:rPr>
          <w:rFonts w:hint="eastAsia"/>
          <w:iCs/>
        </w:rPr>
        <w:instrText>REF _Ref52101905 \r \h</w:instrText>
      </w:r>
      <w:r>
        <w:rPr>
          <w:iCs/>
        </w:rPr>
        <w:instrText xml:space="preserve"> </w:instrText>
      </w:r>
      <w:r>
        <w:rPr>
          <w:iCs/>
        </w:rPr>
      </w:r>
      <w:r>
        <w:rPr>
          <w:iCs/>
        </w:rPr>
        <w:fldChar w:fldCharType="separate"/>
      </w:r>
      <w:r>
        <w:rPr>
          <w:rFonts w:hint="eastAsia"/>
          <w:iCs/>
        </w:rPr>
        <w:t>②</w:t>
      </w:r>
      <w:r>
        <w:rPr>
          <w:iCs/>
        </w:rPr>
        <w:fldChar w:fldCharType="end"/>
      </w:r>
      <w:r>
        <w:rPr>
          <w:rFonts w:hint="eastAsia"/>
          <w:iCs/>
        </w:rPr>
        <w:t>へ戻る。（ただし、</w:t>
      </w:r>
      <m:oMath>
        <m:r>
          <w:rPr>
            <w:rFonts w:ascii="Cambria Math" w:hAnsi="Cambria Math"/>
          </w:rPr>
          <m:t>α</m:t>
        </m:r>
      </m:oMath>
      <w:r>
        <w:rPr>
          <w:rFonts w:hint="eastAsia"/>
          <w:iCs/>
        </w:rPr>
        <w:t>の最大値に到達した場合はそこで計算を終了する。）。</w:t>
      </w:r>
    </w:p>
    <w:p w14:paraId="55E6ED87" w14:textId="3C953291" w:rsidR="009342C4" w:rsidRDefault="009342C4" w:rsidP="009342C4">
      <w:pPr>
        <w:rPr>
          <w:iCs/>
        </w:rPr>
      </w:pPr>
    </w:p>
    <w:p w14:paraId="297A1F21" w14:textId="73197DB2" w:rsidR="00A53526" w:rsidRPr="00A3499E" w:rsidRDefault="009342C4" w:rsidP="00A3499E">
      <w:pPr>
        <w:ind w:firstLineChars="100" w:firstLine="210"/>
        <w:rPr>
          <w:iCs/>
        </w:rPr>
      </w:pPr>
      <w:r>
        <w:rPr>
          <w:rFonts w:hint="eastAsia"/>
          <w:iCs/>
        </w:rPr>
        <w:t>最後に(</w:t>
      </w:r>
      <w:r>
        <w:rPr>
          <w:iCs/>
        </w:rPr>
        <w:t>)</w:t>
      </w:r>
      <w:r>
        <w:rPr>
          <w:rFonts w:hint="eastAsia"/>
          <w:iCs/>
        </w:rPr>
        <w:t>式を用いれば</w:t>
      </w:r>
      <w:r w:rsidR="00A53526">
        <w:rPr>
          <w:rFonts w:hint="eastAsia"/>
          <w:iCs/>
        </w:rPr>
        <w:t>100年までの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A53526">
        <w:rPr>
          <w:rFonts w:hint="eastAsia"/>
          <w:iCs/>
        </w:rPr>
        <w:t>年刻みの割引債価格を計算することができ、以下の式によりスポットレートを計算することで、補外が完了する。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A53526" w14:paraId="5469C6E3" w14:textId="77777777" w:rsidTr="008B3248">
        <w:tc>
          <w:tcPr>
            <w:tcW w:w="779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4D08EE3C" w14:textId="1D36795C" w:rsidR="00A53526" w:rsidRPr="00A3499E" w:rsidRDefault="001F49A7" w:rsidP="008B3248">
            <w:pPr>
              <w:ind w:firstLineChars="100" w:firstLine="210"/>
              <w:rPr>
                <w:i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c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6AA844F1" w14:textId="77777777" w:rsidR="00A53526" w:rsidRDefault="00A53526" w:rsidP="008B3248"/>
        </w:tc>
      </w:tr>
    </w:tbl>
    <w:p w14:paraId="021C2ACD" w14:textId="764D089F" w:rsidR="00D967BD" w:rsidRDefault="00D967BD" w:rsidP="00A3499E">
      <w:pPr>
        <w:rPr>
          <w:iCs/>
        </w:rPr>
      </w:pPr>
    </w:p>
    <w:p w14:paraId="0450A950" w14:textId="77777777" w:rsidR="00D967BD" w:rsidRDefault="00D967BD" w:rsidP="00A3499E">
      <w:pPr>
        <w:rPr>
          <w:iCs/>
        </w:rPr>
      </w:pPr>
    </w:p>
    <w:p w14:paraId="34207EA7" w14:textId="108A3F62" w:rsidR="00D967BD" w:rsidRDefault="00D967BD" w:rsidP="00A3499E">
      <w:pPr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 w:hint="eastAsia"/>
        </w:rPr>
        <w:t>2</w:t>
      </w:r>
      <w:r>
        <w:rPr>
          <w:rFonts w:ascii="Times New Roman" w:eastAsia="ＭＳ 明朝" w:hAnsi="Times New Roman" w:cs="Times New Roman"/>
        </w:rPr>
        <w:t xml:space="preserve">.5 </w:t>
      </w:r>
      <w:r>
        <w:rPr>
          <w:rFonts w:ascii="Times New Roman" w:eastAsia="ＭＳ 明朝" w:hAnsi="Times New Roman" w:cs="Times New Roman" w:hint="eastAsia"/>
        </w:rPr>
        <w:t>〇為替株</w:t>
      </w:r>
      <w:r>
        <w:rPr>
          <w:rFonts w:ascii="Times New Roman" w:eastAsia="ＭＳ 明朝" w:hAnsi="Times New Roman" w:cs="Times New Roman" w:hint="eastAsia"/>
        </w:rPr>
        <w:t>IV</w:t>
      </w:r>
    </w:p>
    <w:p w14:paraId="66A2FCA9" w14:textId="61D72411" w:rsidR="001E20FD" w:rsidRDefault="00D967BD" w:rsidP="001E20FD">
      <w:pPr>
        <w:ind w:firstLineChars="100" w:firstLine="210"/>
        <w:rPr>
          <w:iCs/>
        </w:rPr>
      </w:pPr>
      <w:r>
        <w:rPr>
          <w:rFonts w:hint="eastAsia"/>
          <w:iCs/>
        </w:rPr>
        <w:t>本ツール</w:t>
      </w:r>
      <w:r w:rsidR="001E20FD">
        <w:rPr>
          <w:rFonts w:hint="eastAsia"/>
          <w:iCs/>
        </w:rPr>
        <w:t>の用途は主に2つある。一つ目は、</w:t>
      </w:r>
      <w:r>
        <w:rPr>
          <w:iCs/>
        </w:rPr>
        <w:t>DataStream</w:t>
      </w:r>
      <w:r w:rsidR="001E20FD">
        <w:rPr>
          <w:rStyle w:val="af"/>
          <w:iCs/>
        </w:rPr>
        <w:footnoteReference w:id="1"/>
      </w:r>
      <w:r>
        <w:rPr>
          <w:rFonts w:hint="eastAsia"/>
          <w:iCs/>
        </w:rPr>
        <w:t>から取得した株式オプションのインプライドボラティリティ</w:t>
      </w:r>
      <w:r w:rsidR="001E20FD">
        <w:rPr>
          <w:rFonts w:hint="eastAsia"/>
          <w:iCs/>
        </w:rPr>
        <w:t>（以下、市場IV）とウィリス・タワーズ・ワトソン（以下、WTW）がシナリオ作成時に使用した市場IVを用いて、EV計測時点での市場IVを推定することである。2つ目は</w:t>
      </w:r>
      <w:r w:rsidR="008B3248">
        <w:rPr>
          <w:rFonts w:hint="eastAsia"/>
          <w:iCs/>
        </w:rPr>
        <w:t>通貨</w:t>
      </w:r>
      <w:r w:rsidR="001E20FD">
        <w:rPr>
          <w:rFonts w:hint="eastAsia"/>
          <w:iCs/>
        </w:rPr>
        <w:t>オプションのIVを取得することである。</w:t>
      </w:r>
    </w:p>
    <w:p w14:paraId="32C0E4DF" w14:textId="158F7AB1" w:rsidR="008B3248" w:rsidRDefault="008B3248" w:rsidP="008B3248">
      <w:pPr>
        <w:rPr>
          <w:iCs/>
        </w:rPr>
      </w:pPr>
    </w:p>
    <w:p w14:paraId="3C629BF6" w14:textId="24C04100" w:rsidR="008B3248" w:rsidRDefault="008B3248" w:rsidP="008B3248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.5.1</w:t>
      </w:r>
      <w:r>
        <w:rPr>
          <w:rFonts w:hint="eastAsia"/>
          <w:iCs/>
        </w:rPr>
        <w:t xml:space="preserve">　インプットとアウトプット</w:t>
      </w:r>
    </w:p>
    <w:p w14:paraId="6335579C" w14:textId="77777777" w:rsidR="00275846" w:rsidRDefault="00275846" w:rsidP="00275846">
      <w:pPr>
        <w:ind w:firstLineChars="100" w:firstLine="210"/>
        <w:rPr>
          <w:iCs/>
        </w:rPr>
      </w:pPr>
      <w:r>
        <w:rPr>
          <w:rFonts w:hint="eastAsia"/>
          <w:iCs/>
        </w:rPr>
        <w:t>インプットとしては次の2つである。</w:t>
      </w:r>
    </w:p>
    <w:p w14:paraId="5792C9F0" w14:textId="66A23613" w:rsidR="00275846" w:rsidRDefault="00275846" w:rsidP="00275846">
      <w:pPr>
        <w:pStyle w:val="a5"/>
        <w:numPr>
          <w:ilvl w:val="0"/>
          <w:numId w:val="7"/>
        </w:numPr>
        <w:ind w:leftChars="0"/>
        <w:rPr>
          <w:iCs/>
        </w:rPr>
      </w:pPr>
      <w:r w:rsidRPr="00275846">
        <w:rPr>
          <w:rFonts w:hint="eastAsia"/>
          <w:iCs/>
        </w:rPr>
        <w:t>WTWがシナリオ作成時に使用した市場IV</w:t>
      </w:r>
    </w:p>
    <w:p w14:paraId="78016BA3" w14:textId="6E85C481" w:rsidR="00275846" w:rsidRDefault="00D36D6E" w:rsidP="00275846">
      <w:pPr>
        <w:pStyle w:val="a5"/>
        <w:ind w:leftChars="0" w:left="851"/>
        <w:rPr>
          <w:iCs/>
        </w:rPr>
      </w:pPr>
      <w:r>
        <w:rPr>
          <w:rFonts w:hint="eastAsia"/>
          <w:iCs/>
        </w:rPr>
        <w:t>使用するIVは以下のとおりである。</w:t>
      </w:r>
    </w:p>
    <w:tbl>
      <w:tblPr>
        <w:tblStyle w:val="ac"/>
        <w:tblW w:w="7649" w:type="dxa"/>
        <w:tblInd w:w="851" w:type="dxa"/>
        <w:tblLook w:val="04A0" w:firstRow="1" w:lastRow="0" w:firstColumn="1" w:lastColumn="0" w:noHBand="0" w:noVBand="1"/>
      </w:tblPr>
      <w:tblGrid>
        <w:gridCol w:w="2688"/>
        <w:gridCol w:w="4961"/>
      </w:tblGrid>
      <w:tr w:rsidR="00D36D6E" w14:paraId="20276B78" w14:textId="77777777" w:rsidTr="00207262">
        <w:tc>
          <w:tcPr>
            <w:tcW w:w="2688" w:type="dxa"/>
            <w:shd w:val="clear" w:color="auto" w:fill="0070C0"/>
          </w:tcPr>
          <w:p w14:paraId="2933B09B" w14:textId="624B143F" w:rsidR="00D36D6E" w:rsidRPr="00DD1971" w:rsidRDefault="00D36D6E" w:rsidP="00275846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オプションの種類</w:t>
            </w:r>
          </w:p>
        </w:tc>
        <w:tc>
          <w:tcPr>
            <w:tcW w:w="4961" w:type="dxa"/>
          </w:tcPr>
          <w:p w14:paraId="3F0AE607" w14:textId="2FFF6E6C" w:rsidR="00D36D6E" w:rsidRDefault="00D36D6E" w:rsidP="00275846">
            <w:pPr>
              <w:pStyle w:val="a5"/>
              <w:ind w:leftChars="0" w:left="0"/>
              <w:rPr>
                <w:iCs/>
              </w:rPr>
            </w:pPr>
            <w:r>
              <w:rPr>
                <w:rFonts w:hint="eastAsia"/>
                <w:iCs/>
              </w:rPr>
              <w:t>●●、●●、●●</w:t>
            </w:r>
          </w:p>
        </w:tc>
      </w:tr>
      <w:tr w:rsidR="00D36D6E" w14:paraId="462BC963" w14:textId="77777777" w:rsidTr="00207262">
        <w:tc>
          <w:tcPr>
            <w:tcW w:w="2688" w:type="dxa"/>
            <w:shd w:val="clear" w:color="auto" w:fill="0070C0"/>
          </w:tcPr>
          <w:p w14:paraId="235294AA" w14:textId="46911651" w:rsidR="00D36D6E" w:rsidRPr="00DD1971" w:rsidRDefault="00D36D6E" w:rsidP="00275846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時点</w:t>
            </w:r>
          </w:p>
        </w:tc>
        <w:tc>
          <w:tcPr>
            <w:tcW w:w="4961" w:type="dxa"/>
          </w:tcPr>
          <w:p w14:paraId="321E0ED5" w14:textId="50BED291" w:rsidR="00D36D6E" w:rsidRDefault="00D36D6E" w:rsidP="00275846">
            <w:pPr>
              <w:pStyle w:val="a5"/>
              <w:ind w:leftChars="0" w:left="0"/>
              <w:rPr>
                <w:iCs/>
              </w:rPr>
            </w:pPr>
            <w:r>
              <w:rPr>
                <w:rFonts w:hint="eastAsia"/>
                <w:iCs/>
              </w:rPr>
              <w:t>3月末と9月末</w:t>
            </w:r>
            <w:bookmarkStart w:id="1" w:name="_Ref52215527"/>
            <w:r>
              <w:rPr>
                <w:rStyle w:val="af"/>
                <w:iCs/>
              </w:rPr>
              <w:footnoteReference w:id="2"/>
            </w:r>
            <w:bookmarkEnd w:id="1"/>
            <w:r w:rsidR="00207262">
              <w:rPr>
                <w:rFonts w:hint="eastAsia"/>
                <w:iCs/>
              </w:rPr>
              <w:t>（例外的に、2010年6月末も使用している）</w:t>
            </w:r>
          </w:p>
        </w:tc>
      </w:tr>
      <w:tr w:rsidR="00D36D6E" w14:paraId="3681B370" w14:textId="77777777" w:rsidTr="00207262">
        <w:tc>
          <w:tcPr>
            <w:tcW w:w="2688" w:type="dxa"/>
            <w:shd w:val="clear" w:color="auto" w:fill="0070C0"/>
          </w:tcPr>
          <w:p w14:paraId="18D9A3CC" w14:textId="078D80C1" w:rsidR="00D36D6E" w:rsidRPr="00DD1971" w:rsidRDefault="00D36D6E" w:rsidP="00275846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オプションの年限</w:t>
            </w:r>
          </w:p>
        </w:tc>
        <w:tc>
          <w:tcPr>
            <w:tcW w:w="4961" w:type="dxa"/>
          </w:tcPr>
          <w:p w14:paraId="706D91DD" w14:textId="1E13BBC4" w:rsidR="00D36D6E" w:rsidRDefault="00D36D6E" w:rsidP="00275846">
            <w:pPr>
              <w:pStyle w:val="a5"/>
              <w:ind w:leftChars="0" w:left="0"/>
              <w:rPr>
                <w:iCs/>
              </w:rPr>
            </w:pPr>
            <w:r>
              <w:rPr>
                <w:rFonts w:hint="eastAsia"/>
                <w:iCs/>
              </w:rPr>
              <w:t>3年から9年の一年毎</w:t>
            </w:r>
          </w:p>
        </w:tc>
      </w:tr>
      <w:tr w:rsidR="00D36D6E" w14:paraId="1B931FBD" w14:textId="77777777" w:rsidTr="00207262">
        <w:tc>
          <w:tcPr>
            <w:tcW w:w="2688" w:type="dxa"/>
            <w:shd w:val="clear" w:color="auto" w:fill="0070C0"/>
          </w:tcPr>
          <w:p w14:paraId="28CD95BF" w14:textId="007E4D32" w:rsidR="00D36D6E" w:rsidRPr="00DD1971" w:rsidRDefault="00D36D6E" w:rsidP="00275846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行使価格</w:t>
            </w:r>
            <w:r w:rsidR="00207262">
              <w:rPr>
                <w:rFonts w:hint="eastAsia"/>
                <w:b/>
                <w:bCs/>
                <w:iCs/>
                <w:color w:val="FFFFFF" w:themeColor="background1"/>
              </w:rPr>
              <w:t>（マネネス基準）</w:t>
            </w:r>
          </w:p>
        </w:tc>
        <w:tc>
          <w:tcPr>
            <w:tcW w:w="4961" w:type="dxa"/>
          </w:tcPr>
          <w:p w14:paraId="71F693DB" w14:textId="15D60D03" w:rsidR="00D36D6E" w:rsidRDefault="00D36D6E" w:rsidP="00275846">
            <w:pPr>
              <w:pStyle w:val="a5"/>
              <w:ind w:leftChars="0" w:left="0"/>
              <w:rPr>
                <w:iCs/>
              </w:rPr>
            </w:pPr>
            <w:r>
              <w:rPr>
                <w:rFonts w:hint="eastAsia"/>
                <w:iCs/>
              </w:rPr>
              <w:t>90％、9</w:t>
            </w:r>
            <w:r>
              <w:rPr>
                <w:iCs/>
              </w:rPr>
              <w:t>5%</w:t>
            </w:r>
            <w:r>
              <w:rPr>
                <w:rFonts w:hint="eastAsia"/>
                <w:iCs/>
              </w:rPr>
              <w:t>、</w:t>
            </w:r>
            <w:r w:rsidR="00DD1971">
              <w:rPr>
                <w:rFonts w:hint="eastAsia"/>
                <w:iCs/>
              </w:rPr>
              <w:t>100％、1</w:t>
            </w:r>
            <w:r w:rsidR="00DD1971">
              <w:rPr>
                <w:iCs/>
              </w:rPr>
              <w:t>05%</w:t>
            </w:r>
            <w:r w:rsidR="00DD1971">
              <w:rPr>
                <w:rFonts w:hint="eastAsia"/>
                <w:iCs/>
              </w:rPr>
              <w:t>、1</w:t>
            </w:r>
            <w:r w:rsidR="00DD1971">
              <w:rPr>
                <w:iCs/>
              </w:rPr>
              <w:t>10%</w:t>
            </w:r>
          </w:p>
        </w:tc>
      </w:tr>
    </w:tbl>
    <w:p w14:paraId="1CD08B9E" w14:textId="77777777" w:rsidR="00D36D6E" w:rsidRPr="005615BB" w:rsidRDefault="00D36D6E" w:rsidP="005615BB">
      <w:pPr>
        <w:rPr>
          <w:iCs/>
        </w:rPr>
      </w:pPr>
    </w:p>
    <w:p w14:paraId="6E881FB6" w14:textId="662853FB" w:rsidR="00275846" w:rsidRDefault="00275846" w:rsidP="00275846">
      <w:pPr>
        <w:pStyle w:val="a5"/>
        <w:numPr>
          <w:ilvl w:val="0"/>
          <w:numId w:val="7"/>
        </w:numPr>
        <w:ind w:leftChars="0"/>
        <w:rPr>
          <w:iCs/>
        </w:rPr>
      </w:pPr>
      <w:r w:rsidRPr="00275846">
        <w:rPr>
          <w:rFonts w:hint="eastAsia"/>
          <w:iCs/>
        </w:rPr>
        <w:t>DataStreamから取得したIV</w:t>
      </w:r>
    </w:p>
    <w:p w14:paraId="5BA2A46A" w14:textId="77777777" w:rsidR="005615BB" w:rsidRDefault="005615BB" w:rsidP="005615BB">
      <w:pPr>
        <w:pStyle w:val="a5"/>
        <w:ind w:leftChars="0" w:left="851"/>
        <w:rPr>
          <w:iCs/>
        </w:rPr>
      </w:pPr>
      <w:r>
        <w:rPr>
          <w:rFonts w:hint="eastAsia"/>
          <w:iCs/>
        </w:rPr>
        <w:t>使用するIVは以下のとおりである。</w:t>
      </w:r>
    </w:p>
    <w:tbl>
      <w:tblPr>
        <w:tblStyle w:val="ac"/>
        <w:tblW w:w="7649" w:type="dxa"/>
        <w:tblInd w:w="851" w:type="dxa"/>
        <w:tblLook w:val="04A0" w:firstRow="1" w:lastRow="0" w:firstColumn="1" w:lastColumn="0" w:noHBand="0" w:noVBand="1"/>
      </w:tblPr>
      <w:tblGrid>
        <w:gridCol w:w="2688"/>
        <w:gridCol w:w="4961"/>
      </w:tblGrid>
      <w:tr w:rsidR="005615BB" w14:paraId="6C44E7F4" w14:textId="77777777" w:rsidTr="00207262">
        <w:tc>
          <w:tcPr>
            <w:tcW w:w="2688" w:type="dxa"/>
            <w:shd w:val="clear" w:color="auto" w:fill="0070C0"/>
          </w:tcPr>
          <w:p w14:paraId="098A6BA0" w14:textId="5FCB33E8" w:rsidR="005615BB" w:rsidRPr="00DD1971" w:rsidRDefault="005615BB" w:rsidP="000B5EA2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オプションの</w:t>
            </w:r>
            <w:r w:rsidR="008A7B62">
              <w:rPr>
                <w:rFonts w:hint="eastAsia"/>
                <w:b/>
                <w:bCs/>
                <w:iCs/>
                <w:color w:val="FFFFFF" w:themeColor="background1"/>
              </w:rPr>
              <w:t>原資産</w:t>
            </w:r>
          </w:p>
        </w:tc>
        <w:tc>
          <w:tcPr>
            <w:tcW w:w="4961" w:type="dxa"/>
          </w:tcPr>
          <w:p w14:paraId="1E4F88EE" w14:textId="652C14BC" w:rsidR="005615BB" w:rsidRDefault="005615BB" w:rsidP="000B5EA2">
            <w:pPr>
              <w:pStyle w:val="a5"/>
              <w:ind w:leftChars="0" w:left="0"/>
              <w:rPr>
                <w:iCs/>
              </w:rPr>
            </w:pPr>
            <w:r>
              <w:rPr>
                <w:rFonts w:hint="eastAsia"/>
                <w:iCs/>
              </w:rPr>
              <w:t>N</w:t>
            </w:r>
            <w:r>
              <w:rPr>
                <w:iCs/>
              </w:rPr>
              <w:t>ikkei225</w:t>
            </w:r>
            <w:r>
              <w:rPr>
                <w:rFonts w:hint="eastAsia"/>
                <w:iCs/>
              </w:rPr>
              <w:t>、S</w:t>
            </w:r>
            <w:r>
              <w:rPr>
                <w:iCs/>
              </w:rPr>
              <w:t>&amp;P500</w:t>
            </w:r>
            <w:r>
              <w:rPr>
                <w:rFonts w:hint="eastAsia"/>
                <w:iCs/>
              </w:rPr>
              <w:t>、E</w:t>
            </w:r>
            <w:r>
              <w:rPr>
                <w:iCs/>
              </w:rPr>
              <w:t>uroStoxx50</w:t>
            </w:r>
            <w:r>
              <w:rPr>
                <w:rStyle w:val="af"/>
                <w:iCs/>
              </w:rPr>
              <w:footnoteReference w:id="3"/>
            </w:r>
          </w:p>
        </w:tc>
      </w:tr>
      <w:tr w:rsidR="005615BB" w14:paraId="6C4ED557" w14:textId="77777777" w:rsidTr="00207262">
        <w:tc>
          <w:tcPr>
            <w:tcW w:w="2688" w:type="dxa"/>
            <w:shd w:val="clear" w:color="auto" w:fill="0070C0"/>
          </w:tcPr>
          <w:p w14:paraId="2A835F26" w14:textId="77777777" w:rsidR="005615BB" w:rsidRPr="00DD1971" w:rsidRDefault="005615BB" w:rsidP="000B5EA2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時点</w:t>
            </w:r>
          </w:p>
        </w:tc>
        <w:tc>
          <w:tcPr>
            <w:tcW w:w="4961" w:type="dxa"/>
          </w:tcPr>
          <w:p w14:paraId="50D95D2E" w14:textId="77777777" w:rsidR="005615BB" w:rsidRDefault="005615BB" w:rsidP="00A83ABF">
            <w:pPr>
              <w:pStyle w:val="a5"/>
              <w:numPr>
                <w:ilvl w:val="3"/>
                <w:numId w:val="1"/>
              </w:numPr>
              <w:ind w:leftChars="0" w:left="316"/>
              <w:rPr>
                <w:iCs/>
              </w:rPr>
            </w:pPr>
            <w:r>
              <w:rPr>
                <w:rFonts w:hint="eastAsia"/>
                <w:iCs/>
              </w:rPr>
              <w:t>3月末と9月末</w:t>
            </w:r>
            <w:r w:rsidR="00207262" w:rsidRPr="00207262">
              <w:rPr>
                <w:iCs/>
                <w:vertAlign w:val="superscript"/>
              </w:rPr>
              <w:fldChar w:fldCharType="begin"/>
            </w:r>
            <w:r w:rsidR="00207262" w:rsidRPr="00207262">
              <w:rPr>
                <w:iCs/>
                <w:vertAlign w:val="superscript"/>
              </w:rPr>
              <w:instrText xml:space="preserve"> </w:instrText>
            </w:r>
            <w:r w:rsidR="00207262" w:rsidRPr="00207262">
              <w:rPr>
                <w:rFonts w:hint="eastAsia"/>
                <w:iCs/>
                <w:vertAlign w:val="superscript"/>
              </w:rPr>
              <w:instrText>NOTEREF _Ref52215527 \h</w:instrText>
            </w:r>
            <w:r w:rsidR="00207262" w:rsidRPr="00207262">
              <w:rPr>
                <w:iCs/>
                <w:vertAlign w:val="superscript"/>
              </w:rPr>
              <w:instrText xml:space="preserve"> </w:instrText>
            </w:r>
            <w:r w:rsidR="00207262">
              <w:rPr>
                <w:iCs/>
                <w:vertAlign w:val="superscript"/>
              </w:rPr>
              <w:instrText xml:space="preserve"> \* MERGEFORMAT </w:instrText>
            </w:r>
            <w:r w:rsidR="00207262" w:rsidRPr="00207262">
              <w:rPr>
                <w:iCs/>
                <w:vertAlign w:val="superscript"/>
              </w:rPr>
            </w:r>
            <w:r w:rsidR="00207262" w:rsidRPr="00207262">
              <w:rPr>
                <w:iCs/>
                <w:vertAlign w:val="superscript"/>
              </w:rPr>
              <w:fldChar w:fldCharType="separate"/>
            </w:r>
            <w:r w:rsidR="00207262" w:rsidRPr="00207262">
              <w:rPr>
                <w:iCs/>
                <w:vertAlign w:val="superscript"/>
              </w:rPr>
              <w:t>2</w:t>
            </w:r>
            <w:r w:rsidR="00207262" w:rsidRPr="00207262">
              <w:rPr>
                <w:iCs/>
                <w:vertAlign w:val="superscript"/>
              </w:rPr>
              <w:fldChar w:fldCharType="end"/>
            </w:r>
            <w:r w:rsidR="00207262">
              <w:rPr>
                <w:rFonts w:hint="eastAsia"/>
                <w:iCs/>
              </w:rPr>
              <w:t>（例外的に、2010年6月末も使用している）</w:t>
            </w:r>
          </w:p>
          <w:p w14:paraId="0CE5F0AD" w14:textId="486EFBA9" w:rsidR="00A83ABF" w:rsidRPr="00A83ABF" w:rsidRDefault="00A83ABF" w:rsidP="00A83ABF">
            <w:pPr>
              <w:pStyle w:val="a5"/>
              <w:numPr>
                <w:ilvl w:val="3"/>
                <w:numId w:val="1"/>
              </w:numPr>
              <w:ind w:leftChars="0" w:left="316"/>
              <w:rPr>
                <w:iCs/>
              </w:rPr>
            </w:pPr>
            <w:r>
              <w:rPr>
                <w:rFonts w:hint="eastAsia"/>
                <w:iCs/>
              </w:rPr>
              <w:t>EV計測時点（6月末もしくは12月末</w:t>
            </w:r>
            <w:r w:rsidRPr="00A83ABF">
              <w:rPr>
                <w:rFonts w:hint="eastAsia"/>
                <w:iCs/>
              </w:rPr>
              <w:t>）</w:t>
            </w:r>
          </w:p>
        </w:tc>
      </w:tr>
      <w:tr w:rsidR="005615BB" w14:paraId="7BDD02AD" w14:textId="77777777" w:rsidTr="00207262">
        <w:tc>
          <w:tcPr>
            <w:tcW w:w="2688" w:type="dxa"/>
            <w:shd w:val="clear" w:color="auto" w:fill="0070C0"/>
          </w:tcPr>
          <w:p w14:paraId="275B6929" w14:textId="77777777" w:rsidR="005615BB" w:rsidRPr="00DD1971" w:rsidRDefault="005615BB" w:rsidP="000B5EA2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オプションの年限</w:t>
            </w:r>
          </w:p>
        </w:tc>
        <w:tc>
          <w:tcPr>
            <w:tcW w:w="4961" w:type="dxa"/>
          </w:tcPr>
          <w:p w14:paraId="78DE1BCA" w14:textId="611AE736" w:rsidR="005615BB" w:rsidRDefault="005615BB" w:rsidP="000B5EA2">
            <w:pPr>
              <w:pStyle w:val="a5"/>
              <w:ind w:leftChars="0" w:left="0"/>
              <w:rPr>
                <w:iCs/>
              </w:rPr>
            </w:pPr>
            <w:r>
              <w:rPr>
                <w:rFonts w:hint="eastAsia"/>
                <w:iCs/>
              </w:rPr>
              <w:t>3年</w:t>
            </w:r>
          </w:p>
        </w:tc>
      </w:tr>
      <w:tr w:rsidR="005615BB" w14:paraId="64F9D1F0" w14:textId="77777777" w:rsidTr="00207262">
        <w:tc>
          <w:tcPr>
            <w:tcW w:w="2688" w:type="dxa"/>
            <w:shd w:val="clear" w:color="auto" w:fill="0070C0"/>
          </w:tcPr>
          <w:p w14:paraId="68BC8F12" w14:textId="1FC64257" w:rsidR="005615BB" w:rsidRPr="00DD1971" w:rsidRDefault="005615BB" w:rsidP="000B5EA2">
            <w:pPr>
              <w:pStyle w:val="a5"/>
              <w:ind w:leftChars="0" w:left="0"/>
              <w:rPr>
                <w:b/>
                <w:bCs/>
                <w:iCs/>
                <w:color w:val="FFFFFF" w:themeColor="background1"/>
              </w:rPr>
            </w:pPr>
            <w:r w:rsidRPr="00DD1971">
              <w:rPr>
                <w:rFonts w:hint="eastAsia"/>
                <w:b/>
                <w:bCs/>
                <w:iCs/>
                <w:color w:val="FFFFFF" w:themeColor="background1"/>
              </w:rPr>
              <w:t>行使価格</w:t>
            </w:r>
            <w:r w:rsidR="00207262">
              <w:rPr>
                <w:rFonts w:hint="eastAsia"/>
                <w:b/>
                <w:bCs/>
                <w:iCs/>
                <w:color w:val="FFFFFF" w:themeColor="background1"/>
              </w:rPr>
              <w:t>（マネネス基準）</w:t>
            </w:r>
          </w:p>
        </w:tc>
        <w:tc>
          <w:tcPr>
            <w:tcW w:w="4961" w:type="dxa"/>
          </w:tcPr>
          <w:p w14:paraId="24C998DB" w14:textId="709DE6B8" w:rsidR="005615BB" w:rsidRDefault="005615BB" w:rsidP="000B5EA2">
            <w:pPr>
              <w:pStyle w:val="a5"/>
              <w:ind w:leftChars="0" w:left="0"/>
              <w:rPr>
                <w:iCs/>
              </w:rPr>
            </w:pPr>
            <w:r>
              <w:rPr>
                <w:rFonts w:hint="eastAsia"/>
                <w:iCs/>
              </w:rPr>
              <w:t>100％</w:t>
            </w:r>
            <w:r w:rsidR="00207262">
              <w:rPr>
                <w:rFonts w:hint="eastAsia"/>
                <w:iCs/>
              </w:rPr>
              <w:t>（ATM）</w:t>
            </w:r>
          </w:p>
        </w:tc>
      </w:tr>
    </w:tbl>
    <w:p w14:paraId="342AAEE2" w14:textId="1E9DCF00" w:rsidR="005615BB" w:rsidRDefault="005615BB" w:rsidP="00207262">
      <w:pPr>
        <w:rPr>
          <w:iCs/>
        </w:rPr>
      </w:pPr>
    </w:p>
    <w:p w14:paraId="271AFA09" w14:textId="03AF5E87" w:rsidR="00207262" w:rsidRDefault="00207262" w:rsidP="00207262">
      <w:pPr>
        <w:rPr>
          <w:iCs/>
        </w:rPr>
      </w:pPr>
      <w:r>
        <w:rPr>
          <w:rFonts w:hint="eastAsia"/>
          <w:iCs/>
        </w:rPr>
        <w:t>また、アウトプットとしては</w:t>
      </w:r>
      <w:r w:rsidR="00C31169">
        <w:rPr>
          <w:rFonts w:hint="eastAsia"/>
          <w:iCs/>
        </w:rPr>
        <w:t>EV計測時（6月末もしくは12月末）における株式市場IV</w:t>
      </w:r>
      <w:r w:rsidR="00F05C63">
        <w:rPr>
          <w:rFonts w:hint="eastAsia"/>
          <w:iCs/>
        </w:rPr>
        <w:t>の推定値</w:t>
      </w:r>
      <w:r w:rsidR="00C31169">
        <w:rPr>
          <w:rFonts w:hint="eastAsia"/>
          <w:iCs/>
        </w:rPr>
        <w:t>と通貨オプションの市場IVである。通貨オプションの市場IVについては取得したデータそのものであり、</w:t>
      </w:r>
      <w:r w:rsidR="008A7B62">
        <w:rPr>
          <w:rFonts w:hint="eastAsia"/>
          <w:iCs/>
        </w:rPr>
        <w:t>EV計測時における</w:t>
      </w:r>
      <w:r w:rsidR="00C31169">
        <w:rPr>
          <w:rFonts w:hint="eastAsia"/>
          <w:iCs/>
        </w:rPr>
        <w:t>以下の</w:t>
      </w:r>
      <w:r w:rsidR="008A7B62">
        <w:rPr>
          <w:rFonts w:hint="eastAsia"/>
          <w:iCs/>
        </w:rPr>
        <w:t>データを使用する</w:t>
      </w:r>
      <w:r w:rsidR="00C31169">
        <w:rPr>
          <w:rFonts w:hint="eastAsia"/>
          <w:iCs/>
        </w:rPr>
        <w:t>。</w:t>
      </w:r>
    </w:p>
    <w:p w14:paraId="14C8D285" w14:textId="77777777" w:rsidR="008A7B62" w:rsidRDefault="008A7B62" w:rsidP="00207262">
      <w:pPr>
        <w:rPr>
          <w:iCs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123"/>
        <w:gridCol w:w="849"/>
        <w:gridCol w:w="3398"/>
        <w:gridCol w:w="2124"/>
      </w:tblGrid>
      <w:tr w:rsidR="008A7B62" w14:paraId="290F660E" w14:textId="77777777" w:rsidTr="008A7B62">
        <w:tc>
          <w:tcPr>
            <w:tcW w:w="2123" w:type="dxa"/>
            <w:shd w:val="clear" w:color="auto" w:fill="0070C0"/>
          </w:tcPr>
          <w:p w14:paraId="29B2895E" w14:textId="08086233" w:rsidR="008A7B62" w:rsidRPr="008A7B62" w:rsidRDefault="008A7B62" w:rsidP="00207262">
            <w:pPr>
              <w:rPr>
                <w:b/>
                <w:bCs/>
                <w:iCs/>
                <w:color w:val="FFFFFF" w:themeColor="background1"/>
              </w:rPr>
            </w:pPr>
            <w:r w:rsidRPr="008A7B62">
              <w:rPr>
                <w:rFonts w:hint="eastAsia"/>
                <w:b/>
                <w:bCs/>
                <w:iCs/>
                <w:color w:val="FFFFFF" w:themeColor="background1"/>
              </w:rPr>
              <w:t>オプション原資産</w:t>
            </w:r>
          </w:p>
        </w:tc>
        <w:tc>
          <w:tcPr>
            <w:tcW w:w="849" w:type="dxa"/>
            <w:shd w:val="clear" w:color="auto" w:fill="0070C0"/>
          </w:tcPr>
          <w:p w14:paraId="414CB297" w14:textId="22C38E61" w:rsidR="008A7B62" w:rsidRPr="008A7B62" w:rsidRDefault="008A7B62" w:rsidP="00207262">
            <w:pPr>
              <w:rPr>
                <w:b/>
                <w:bCs/>
                <w:iCs/>
                <w:color w:val="FFFFFF" w:themeColor="background1"/>
              </w:rPr>
            </w:pPr>
            <w:r w:rsidRPr="008A7B62">
              <w:rPr>
                <w:rFonts w:hint="eastAsia"/>
                <w:b/>
                <w:bCs/>
                <w:iCs/>
                <w:color w:val="FFFFFF" w:themeColor="background1"/>
              </w:rPr>
              <w:t>年限</w:t>
            </w:r>
          </w:p>
        </w:tc>
        <w:tc>
          <w:tcPr>
            <w:tcW w:w="3398" w:type="dxa"/>
            <w:shd w:val="clear" w:color="auto" w:fill="0070C0"/>
          </w:tcPr>
          <w:p w14:paraId="366C23B9" w14:textId="646290C1" w:rsidR="008A7B62" w:rsidRPr="008A7B62" w:rsidRDefault="008A7B62" w:rsidP="00207262">
            <w:pPr>
              <w:rPr>
                <w:b/>
                <w:bCs/>
                <w:iCs/>
                <w:color w:val="FFFFFF" w:themeColor="background1"/>
              </w:rPr>
            </w:pPr>
            <w:r w:rsidRPr="008A7B62">
              <w:rPr>
                <w:rFonts w:hint="eastAsia"/>
                <w:b/>
                <w:bCs/>
                <w:iCs/>
                <w:color w:val="FFFFFF" w:themeColor="background1"/>
              </w:rPr>
              <w:t>Bloombergのティッカー</w:t>
            </w:r>
          </w:p>
        </w:tc>
        <w:tc>
          <w:tcPr>
            <w:tcW w:w="2124" w:type="dxa"/>
            <w:shd w:val="clear" w:color="auto" w:fill="0070C0"/>
          </w:tcPr>
          <w:p w14:paraId="6DA33404" w14:textId="099BD7E1" w:rsidR="008A7B62" w:rsidRPr="008A7B62" w:rsidRDefault="008A7B62" w:rsidP="00207262">
            <w:pPr>
              <w:rPr>
                <w:b/>
                <w:bCs/>
                <w:iCs/>
                <w:color w:val="FFFFFF" w:themeColor="background1"/>
              </w:rPr>
            </w:pPr>
            <w:r w:rsidRPr="008A7B62">
              <w:rPr>
                <w:rFonts w:hint="eastAsia"/>
                <w:b/>
                <w:bCs/>
                <w:iCs/>
                <w:color w:val="FFFFFF" w:themeColor="background1"/>
              </w:rPr>
              <w:t>データ種類</w:t>
            </w:r>
          </w:p>
        </w:tc>
      </w:tr>
      <w:tr w:rsidR="008A7B62" w14:paraId="3B565602" w14:textId="77777777" w:rsidTr="008A7B62">
        <w:tc>
          <w:tcPr>
            <w:tcW w:w="2123" w:type="dxa"/>
          </w:tcPr>
          <w:p w14:paraId="4ECAF071" w14:textId="4FDE7006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SD/JPY</w:t>
            </w:r>
          </w:p>
        </w:tc>
        <w:tc>
          <w:tcPr>
            <w:tcW w:w="849" w:type="dxa"/>
          </w:tcPr>
          <w:p w14:paraId="5A76F238" w14:textId="34AB5813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1</w:t>
            </w:r>
            <w:r>
              <w:rPr>
                <w:iCs/>
              </w:rPr>
              <w:t>0</w:t>
            </w:r>
            <w:r>
              <w:rPr>
                <w:rFonts w:hint="eastAsia"/>
                <w:iCs/>
              </w:rPr>
              <w:t>年</w:t>
            </w:r>
          </w:p>
        </w:tc>
        <w:tc>
          <w:tcPr>
            <w:tcW w:w="3398" w:type="dxa"/>
          </w:tcPr>
          <w:p w14:paraId="20374003" w14:textId="621E0F1F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U</w:t>
            </w:r>
            <w:r>
              <w:rPr>
                <w:iCs/>
              </w:rPr>
              <w:t>SDJPYV10Y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iCs/>
              </w:rPr>
              <w:t>CMPL Currency</w:t>
            </w:r>
          </w:p>
        </w:tc>
        <w:tc>
          <w:tcPr>
            <w:tcW w:w="2124" w:type="dxa"/>
          </w:tcPr>
          <w:p w14:paraId="029F7BA0" w14:textId="02AD0BD2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直近価格</w:t>
            </w:r>
          </w:p>
        </w:tc>
      </w:tr>
      <w:tr w:rsidR="008A7B62" w14:paraId="5459F60E" w14:textId="77777777" w:rsidTr="008A7B62">
        <w:tc>
          <w:tcPr>
            <w:tcW w:w="2123" w:type="dxa"/>
          </w:tcPr>
          <w:p w14:paraId="7A2E5CFF" w14:textId="756BC60E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E</w:t>
            </w:r>
            <w:r>
              <w:rPr>
                <w:iCs/>
              </w:rPr>
              <w:t>UR/JPY</w:t>
            </w:r>
          </w:p>
        </w:tc>
        <w:tc>
          <w:tcPr>
            <w:tcW w:w="849" w:type="dxa"/>
          </w:tcPr>
          <w:p w14:paraId="5FB2A469" w14:textId="3FA87838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10年</w:t>
            </w:r>
          </w:p>
        </w:tc>
        <w:tc>
          <w:tcPr>
            <w:tcW w:w="3398" w:type="dxa"/>
          </w:tcPr>
          <w:p w14:paraId="635A410F" w14:textId="7D44BB20" w:rsidR="008A7B62" w:rsidRDefault="008A7B62" w:rsidP="00207262">
            <w:pPr>
              <w:rPr>
                <w:iCs/>
              </w:rPr>
            </w:pPr>
            <w:r>
              <w:rPr>
                <w:iCs/>
              </w:rPr>
              <w:t>EURJPYV10Y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iCs/>
              </w:rPr>
              <w:t>CMPL Currency</w:t>
            </w:r>
          </w:p>
        </w:tc>
        <w:tc>
          <w:tcPr>
            <w:tcW w:w="2124" w:type="dxa"/>
          </w:tcPr>
          <w:p w14:paraId="187ED264" w14:textId="6C508429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直近価格</w:t>
            </w:r>
          </w:p>
        </w:tc>
      </w:tr>
      <w:tr w:rsidR="008A7B62" w14:paraId="7C266F64" w14:textId="77777777" w:rsidTr="008A7B62">
        <w:tc>
          <w:tcPr>
            <w:tcW w:w="2123" w:type="dxa"/>
          </w:tcPr>
          <w:p w14:paraId="1A416BFA" w14:textId="2BDC798F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A</w:t>
            </w:r>
            <w:r>
              <w:rPr>
                <w:iCs/>
              </w:rPr>
              <w:t>UD/JPY</w:t>
            </w:r>
          </w:p>
        </w:tc>
        <w:tc>
          <w:tcPr>
            <w:tcW w:w="849" w:type="dxa"/>
          </w:tcPr>
          <w:p w14:paraId="5AD81715" w14:textId="4C6B934B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５年</w:t>
            </w:r>
          </w:p>
        </w:tc>
        <w:tc>
          <w:tcPr>
            <w:tcW w:w="3398" w:type="dxa"/>
          </w:tcPr>
          <w:p w14:paraId="2EFA627D" w14:textId="1CE93C5C" w:rsidR="008A7B62" w:rsidRDefault="008A7B62" w:rsidP="00207262">
            <w:pPr>
              <w:rPr>
                <w:iCs/>
              </w:rPr>
            </w:pPr>
            <w:r>
              <w:rPr>
                <w:iCs/>
              </w:rPr>
              <w:t>AUDJPYV5Y</w:t>
            </w:r>
            <w:r>
              <w:rPr>
                <w:rFonts w:hint="eastAsia"/>
                <w:iCs/>
              </w:rPr>
              <w:t xml:space="preserve"> </w:t>
            </w:r>
            <w:r>
              <w:rPr>
                <w:iCs/>
              </w:rPr>
              <w:t>CMPL Currency</w:t>
            </w:r>
          </w:p>
        </w:tc>
        <w:tc>
          <w:tcPr>
            <w:tcW w:w="2124" w:type="dxa"/>
          </w:tcPr>
          <w:p w14:paraId="56A1116D" w14:textId="0846BEA6" w:rsidR="008A7B62" w:rsidRDefault="008A7B62" w:rsidP="00207262">
            <w:pPr>
              <w:rPr>
                <w:iCs/>
              </w:rPr>
            </w:pPr>
            <w:r>
              <w:rPr>
                <w:rFonts w:hint="eastAsia"/>
                <w:iCs/>
              </w:rPr>
              <w:t>直近価格</w:t>
            </w:r>
          </w:p>
        </w:tc>
      </w:tr>
    </w:tbl>
    <w:p w14:paraId="3B3AAC40" w14:textId="7AB34FF5" w:rsidR="008A7B62" w:rsidRDefault="008A7B62" w:rsidP="00207262">
      <w:pPr>
        <w:rPr>
          <w:iCs/>
        </w:rPr>
      </w:pPr>
    </w:p>
    <w:p w14:paraId="4C0F5587" w14:textId="3F5DD1DE" w:rsidR="008A7B62" w:rsidRDefault="008A7B62" w:rsidP="00207262">
      <w:pPr>
        <w:rPr>
          <w:iCs/>
        </w:rPr>
      </w:pPr>
      <w:r>
        <w:rPr>
          <w:rFonts w:hint="eastAsia"/>
          <w:iCs/>
        </w:rPr>
        <w:t>2</w:t>
      </w:r>
      <w:r>
        <w:rPr>
          <w:iCs/>
        </w:rPr>
        <w:t>.5.2</w:t>
      </w:r>
      <w:r>
        <w:rPr>
          <w:rFonts w:hint="eastAsia"/>
          <w:iCs/>
        </w:rPr>
        <w:t xml:space="preserve">　使用ロジック</w:t>
      </w:r>
    </w:p>
    <w:p w14:paraId="0D48F9F5" w14:textId="321FCD70" w:rsidR="008A7B62" w:rsidRDefault="00F05C63" w:rsidP="004A0F77">
      <w:pPr>
        <w:ind w:firstLineChars="100" w:firstLine="210"/>
        <w:rPr>
          <w:iCs/>
        </w:rPr>
      </w:pPr>
      <w:r>
        <w:rPr>
          <w:rFonts w:hint="eastAsia"/>
          <w:iCs/>
        </w:rPr>
        <w:t>本節では株式市場IVの推定方法について説明する。</w:t>
      </w:r>
      <w:r w:rsidR="004921DA">
        <w:rPr>
          <w:rFonts w:hint="eastAsia"/>
          <w:iCs/>
        </w:rPr>
        <w:t>各通貨（USD、EUR、AUD）について年限3年～5年のIVの生成ロジックと年限6年～9年のIVの生成ロジックは異なる。</w:t>
      </w:r>
    </w:p>
    <w:p w14:paraId="7CA2BC7B" w14:textId="28BA263C" w:rsidR="000B5EA2" w:rsidRDefault="000B5EA2" w:rsidP="00F05D61">
      <w:pPr>
        <w:spacing w:line="60" w:lineRule="auto"/>
        <w:ind w:firstLineChars="100" w:firstLine="210"/>
        <w:rPr>
          <w:iCs/>
        </w:rPr>
      </w:pPr>
      <w:r>
        <w:rPr>
          <w:rFonts w:hint="eastAsia"/>
          <w:iCs/>
        </w:rPr>
        <w:t>3年～5年</w:t>
      </w:r>
      <w:r w:rsidR="00F05D61">
        <w:rPr>
          <w:rFonts w:hint="eastAsia"/>
          <w:iCs/>
        </w:rPr>
        <w:t>のIV</w:t>
      </w:r>
      <w:r>
        <w:rPr>
          <w:rFonts w:hint="eastAsia"/>
          <w:iCs/>
        </w:rPr>
        <w:t>についてであるが、</w:t>
      </w:r>
      <w:r w:rsidR="00A83ABF">
        <w:rPr>
          <w:rFonts w:hint="eastAsia"/>
          <w:iCs/>
        </w:rPr>
        <w:t>まずは</w:t>
      </w:r>
      <w:r>
        <w:rPr>
          <w:rFonts w:hint="eastAsia"/>
          <w:iCs/>
        </w:rPr>
        <w:t>被説明変数をWTWのIVデータ、説明変数をDataStreamのIVデータとして回帰式を作る。すなわち、以下の回帰式に基づき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β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>
        <w:rPr>
          <w:rFonts w:hint="eastAsia"/>
          <w:iCs/>
        </w:rPr>
        <w:t>、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>
        <w:rPr>
          <w:rFonts w:hint="eastAsia"/>
          <w:iCs/>
        </w:rPr>
        <w:t xml:space="preserve"> (</w:t>
      </w:r>
      <m:oMath>
        <m:r>
          <w:rPr>
            <w:rFonts w:ascii="Cambria Math" w:hAnsi="Cambria Math"/>
          </w:rPr>
          <m:t>τ</m:t>
        </m:r>
      </m:oMath>
      <w:r w:rsidR="005B5E9E">
        <w:rPr>
          <w:rFonts w:hint="eastAsia"/>
          <w:iCs/>
        </w:rPr>
        <w:t>=</w:t>
      </w:r>
      <w:r w:rsidR="005B5E9E">
        <w:rPr>
          <w:iCs/>
        </w:rPr>
        <w:t>3</w:t>
      </w:r>
      <w:r w:rsidR="005B5E9E">
        <w:rPr>
          <w:rFonts w:hint="eastAsia"/>
          <w:iCs/>
        </w:rPr>
        <w:t>年、4年、5年</w:t>
      </w:r>
      <w:r>
        <w:rPr>
          <w:iCs/>
        </w:rPr>
        <w:t>)</w:t>
      </w:r>
      <w:r>
        <w:rPr>
          <w:rFonts w:hint="eastAsia"/>
          <w:iCs/>
        </w:rPr>
        <w:t>を最小2乗法で推定する。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5B5E9E" w14:paraId="2F9E3441" w14:textId="77777777" w:rsidTr="0061620E">
        <w:tc>
          <w:tcPr>
            <w:tcW w:w="779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EFA0D29" w14:textId="42D9E087" w:rsidR="005B5E9E" w:rsidRPr="005B5E9E" w:rsidRDefault="005B5E9E" w:rsidP="005B5E9E">
            <w:pPr>
              <w:spacing w:line="60" w:lineRule="auto"/>
              <w:ind w:firstLineChars="100" w:firstLine="21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WTWI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  <m:r>
                  <w:rPr>
                    <w:rFonts w:ascii="Cambria Math" w:hAnsi="Cambria Math"/>
                  </w:rPr>
                  <m:t>×DSI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</m:oMath>
            </m:oMathPara>
          </w:p>
          <w:p w14:paraId="24EB48C3" w14:textId="77777777" w:rsidR="005B5E9E" w:rsidRPr="005B5E9E" w:rsidRDefault="005B5E9E" w:rsidP="005B5E9E">
            <w:pPr>
              <w:spacing w:line="60" w:lineRule="auto"/>
              <w:ind w:firstLineChars="100" w:firstLine="210"/>
              <w:rPr>
                <w:iCs/>
              </w:rPr>
            </w:pPr>
          </w:p>
          <w:p w14:paraId="54CA4DFB" w14:textId="1E155F59" w:rsidR="005A5ADF" w:rsidRPr="00A83ABF" w:rsidRDefault="005A5ADF" w:rsidP="0067535B">
            <w:pPr>
              <w:spacing w:line="60" w:lineRule="auto"/>
              <w:ind w:leftChars="-56" w:left="-118" w:firstLineChars="100" w:firstLine="21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WTWI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</m:sup>
              </m:sSubSup>
            </m:oMath>
            <w:r>
              <w:rPr>
                <w:iCs/>
              </w:rPr>
              <w:tab/>
            </w:r>
            <w:r>
              <w:rPr>
                <w:rFonts w:hint="eastAsia"/>
                <w:iCs/>
              </w:rPr>
              <w:t>:</w:t>
            </w:r>
            <w:r>
              <w:rPr>
                <w:iCs/>
              </w:rPr>
              <w:t>WTW</w:t>
            </w:r>
            <w:r w:rsidR="0067535B">
              <w:rPr>
                <w:rFonts w:hint="eastAsia"/>
                <w:iCs/>
              </w:rPr>
              <w:t>がシナリオ生成時に使用した</w:t>
            </w:r>
            <w:r>
              <w:rPr>
                <w:rFonts w:hint="eastAsia"/>
                <w:iCs/>
              </w:rPr>
              <w:t>株式オプション</w:t>
            </w:r>
            <w:r w:rsidR="00A83ABF">
              <w:rPr>
                <w:rFonts w:hint="eastAsia"/>
                <w:iCs/>
              </w:rPr>
              <w:t>（年限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 w:rsidR="00A83ABF">
              <w:rPr>
                <w:rFonts w:hint="eastAsia"/>
                <w:iCs/>
              </w:rPr>
              <w:t>）</w:t>
            </w:r>
            <w:r>
              <w:rPr>
                <w:rFonts w:hint="eastAsia"/>
                <w:iCs/>
              </w:rPr>
              <w:t>のIV</w:t>
            </w:r>
          </w:p>
          <w:p w14:paraId="0323808E" w14:textId="5E2791B7" w:rsidR="005B5E9E" w:rsidRPr="00A83ABF" w:rsidRDefault="005A5ADF" w:rsidP="00D85016">
            <w:pPr>
              <w:spacing w:line="60" w:lineRule="auto"/>
              <w:ind w:firstLineChars="100" w:firstLine="210"/>
              <w:rPr>
                <w:iCs/>
              </w:rPr>
            </w:pPr>
            <m:oMath>
              <m:r>
                <w:rPr>
                  <w:rFonts w:ascii="Cambria Math" w:hAnsi="Cambria Math" w:hint="eastAsia"/>
                </w:rPr>
                <m:t>DS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oMath>
            <w:r>
              <w:rPr>
                <w:iCs/>
              </w:rPr>
              <w:tab/>
            </w:r>
            <w:r>
              <w:rPr>
                <w:iCs/>
              </w:rPr>
              <w:tab/>
            </w:r>
            <w:r>
              <w:rPr>
                <w:rFonts w:hint="eastAsia"/>
                <w:iCs/>
              </w:rPr>
              <w:t>:</w:t>
            </w:r>
            <w:r>
              <w:rPr>
                <w:iCs/>
              </w:rPr>
              <w:t>DataStream</w:t>
            </w:r>
            <w:r>
              <w:rPr>
                <w:rFonts w:hint="eastAsia"/>
                <w:iCs/>
              </w:rPr>
              <w:t>で取得した株式オプション</w:t>
            </w:r>
            <w:r w:rsidR="00A83ABF">
              <w:rPr>
                <w:rFonts w:hint="eastAsia"/>
                <w:iCs/>
              </w:rPr>
              <w:t>（年限3年）</w:t>
            </w:r>
            <w:r>
              <w:rPr>
                <w:rFonts w:hint="eastAsia"/>
                <w:iCs/>
              </w:rPr>
              <w:t>のIV</w:t>
            </w:r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040785A1" w14:textId="77777777" w:rsidR="005B5E9E" w:rsidRDefault="005B5E9E" w:rsidP="0061620E"/>
        </w:tc>
      </w:tr>
    </w:tbl>
    <w:p w14:paraId="79A72935" w14:textId="29BA6AC1" w:rsidR="00483AEF" w:rsidRDefault="00A83ABF" w:rsidP="005B5E9E">
      <w:pPr>
        <w:spacing w:line="60" w:lineRule="auto"/>
        <w:rPr>
          <w:iCs/>
        </w:rPr>
      </w:pPr>
      <w:r>
        <w:rPr>
          <w:rFonts w:hint="eastAsia"/>
          <w:iCs/>
        </w:rPr>
        <w:t>次に、</w:t>
      </w:r>
      <w:r w:rsidR="00483AEF">
        <w:rPr>
          <w:rFonts w:hint="eastAsia"/>
          <w:iCs/>
        </w:rPr>
        <w:t>EV計測時点での市場IV推定値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FTMIV</m:t>
            </m:r>
          </m:e>
          <m:sup>
            <m:r>
              <w:rPr>
                <w:rFonts w:ascii="Cambria Math" w:hAnsi="Cambria Math"/>
              </w:rPr>
              <m:t>τ</m:t>
            </m:r>
          </m:sup>
        </m:sSup>
      </m:oMath>
      <w:r w:rsidR="00483AEF">
        <w:rPr>
          <w:rFonts w:hint="eastAsia"/>
          <w:iCs/>
        </w:rPr>
        <w:t>を</w:t>
      </w:r>
      <w:r w:rsidR="00743E9C">
        <w:rPr>
          <w:rFonts w:hint="eastAsia"/>
          <w:iCs/>
        </w:rPr>
        <w:t>以下の式で推定する。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743E9C" w14:paraId="7F39B451" w14:textId="77777777" w:rsidTr="0061620E">
        <w:tc>
          <w:tcPr>
            <w:tcW w:w="779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10FA02E4" w14:textId="62C449EE" w:rsidR="00743E9C" w:rsidRPr="005B5E9E" w:rsidRDefault="00743E9C" w:rsidP="0061620E">
            <w:pPr>
              <w:spacing w:line="60" w:lineRule="auto"/>
              <w:ind w:firstLineChars="100" w:firstLine="21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FTMI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β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  <m:r>
                  <w:rPr>
                    <w:rFonts w:ascii="Cambria Math" w:hAnsi="Cambria Math"/>
                  </w:rPr>
                  <m:t>×DSI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EV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</m:oMath>
            </m:oMathPara>
          </w:p>
          <w:p w14:paraId="624D9D06" w14:textId="77777777" w:rsidR="00743E9C" w:rsidRPr="005B5E9E" w:rsidRDefault="00743E9C" w:rsidP="0061620E">
            <w:pPr>
              <w:spacing w:line="60" w:lineRule="auto"/>
              <w:ind w:firstLineChars="100" w:firstLine="210"/>
              <w:rPr>
                <w:iCs/>
              </w:rPr>
            </w:pPr>
          </w:p>
          <w:p w14:paraId="491E3EF3" w14:textId="419C8AAA" w:rsidR="00F05D61" w:rsidRDefault="00F05D61" w:rsidP="00F05D61">
            <w:pPr>
              <w:spacing w:line="60" w:lineRule="auto"/>
              <w:ind w:leftChars="100" w:left="1470" w:hangingChars="600" w:hanging="1260"/>
              <w:rPr>
                <w:iCs/>
              </w:rPr>
            </w:pPr>
            <m:oMath>
              <m:r>
                <w:rPr>
                  <w:rFonts w:ascii="Cambria Math" w:hAnsi="Cambria Math" w:hint="eastAsia"/>
                </w:rPr>
                <m:t>DS</m:t>
              </m:r>
              <m:r>
                <w:rPr>
                  <w:rFonts w:ascii="Cambria Math" w:hAnsi="Cambria Math"/>
                </w:rPr>
                <m:t>I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EV</m:t>
                  </m:r>
                </m:sub>
              </m:sSub>
            </m:oMath>
            <w:r w:rsidR="00743E9C">
              <w:rPr>
                <w:iCs/>
              </w:rPr>
              <w:tab/>
            </w:r>
            <w:r w:rsidR="00743E9C">
              <w:rPr>
                <w:iCs/>
              </w:rPr>
              <w:tab/>
            </w:r>
            <w:r w:rsidR="00743E9C">
              <w:rPr>
                <w:rFonts w:hint="eastAsia"/>
                <w:iCs/>
              </w:rPr>
              <w:t>:</w:t>
            </w:r>
            <w:r w:rsidR="00987406">
              <w:rPr>
                <w:iCs/>
              </w:rPr>
              <w:t xml:space="preserve"> DataStream</w:t>
            </w:r>
            <w:r w:rsidR="00987406">
              <w:rPr>
                <w:rFonts w:hint="eastAsia"/>
                <w:iCs/>
              </w:rPr>
              <w:t>で取得したEV計測時点での株式オプション（年</w:t>
            </w:r>
          </w:p>
          <w:p w14:paraId="60BFE1E5" w14:textId="3AD2EEC1" w:rsidR="00743E9C" w:rsidRPr="00A83ABF" w:rsidRDefault="00987406" w:rsidP="00F05D61">
            <w:pPr>
              <w:spacing w:line="60" w:lineRule="auto"/>
              <w:ind w:leftChars="700" w:left="1470" w:firstLineChars="121" w:firstLine="254"/>
              <w:rPr>
                <w:iCs/>
              </w:rPr>
            </w:pPr>
            <w:r>
              <w:rPr>
                <w:rFonts w:hint="eastAsia"/>
                <w:iCs/>
              </w:rPr>
              <w:t>限3年）のIV</w:t>
            </w:r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3C4A08A0" w14:textId="77777777" w:rsidR="00743E9C" w:rsidRDefault="00743E9C" w:rsidP="0061620E"/>
        </w:tc>
      </w:tr>
    </w:tbl>
    <w:p w14:paraId="7EB16058" w14:textId="77777777" w:rsidR="0067535B" w:rsidRDefault="00F05D61" w:rsidP="00427329">
      <w:pPr>
        <w:spacing w:line="60" w:lineRule="auto"/>
        <w:ind w:firstLineChars="100" w:firstLine="210"/>
        <w:rPr>
          <w:iCs/>
        </w:rPr>
      </w:pPr>
      <w:r>
        <w:rPr>
          <w:iCs/>
        </w:rPr>
        <w:t>6</w:t>
      </w:r>
      <w:r>
        <w:rPr>
          <w:rFonts w:hint="eastAsia"/>
          <w:iCs/>
        </w:rPr>
        <w:t>年～</w:t>
      </w:r>
      <w:r>
        <w:rPr>
          <w:iCs/>
        </w:rPr>
        <w:t>9</w:t>
      </w:r>
      <w:r>
        <w:rPr>
          <w:rFonts w:hint="eastAsia"/>
          <w:iCs/>
        </w:rPr>
        <w:t>年のIVついてであるが、</w:t>
      </w:r>
      <w:r w:rsidR="0067535B">
        <w:rPr>
          <w:rFonts w:hint="eastAsia"/>
          <w:iCs/>
        </w:rPr>
        <w:t>以下の式で推定する。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7792"/>
        <w:gridCol w:w="702"/>
      </w:tblGrid>
      <w:tr w:rsidR="0067535B" w14:paraId="5470393F" w14:textId="77777777" w:rsidTr="0061620E">
        <w:tc>
          <w:tcPr>
            <w:tcW w:w="779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5CA1989" w14:textId="5E2CBA0E" w:rsidR="0067535B" w:rsidRPr="005B5E9E" w:rsidRDefault="0067535B" w:rsidP="0061620E">
            <w:pPr>
              <w:spacing w:line="60" w:lineRule="auto"/>
              <w:ind w:firstLineChars="100" w:firstLine="210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FTMI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p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 w:hint="eastAsia"/>
                      </w:rPr>
                      <m:t>FTMI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</w:rPr>
                          <m:t>V</m:t>
                        </m:r>
                        <m:ctrlPr>
                          <w:rPr>
                            <w:rFonts w:ascii="Cambria Math" w:hAnsi="Cambria Math" w:hint="eastAsia"/>
                            <w:i/>
                            <w:iCs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年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>WTWI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MR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年</m:t>
                        </m:r>
                        <m:ctrlPr>
                          <w:rPr>
                            <w:rFonts w:ascii="Cambria Math" w:hAnsi="Cambria Math" w:hint="eastAsia"/>
                          </w:rPr>
                        </m:ctrlPr>
                      </m:sup>
                    </m:sSubSup>
                  </m:den>
                </m:f>
                <m:r>
                  <w:rPr>
                    <w:rFonts w:ascii="Cambria Math" w:hAnsi="Cambria Math"/>
                  </w:rPr>
                  <m:t>WTWI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MR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τ</m:t>
                    </m:r>
                  </m:sup>
                </m:sSubSup>
              </m:oMath>
            </m:oMathPara>
          </w:p>
          <w:p w14:paraId="6542897D" w14:textId="77777777" w:rsidR="0067535B" w:rsidRPr="005B5E9E" w:rsidRDefault="0067535B" w:rsidP="0061620E">
            <w:pPr>
              <w:spacing w:line="60" w:lineRule="auto"/>
              <w:ind w:firstLineChars="100" w:firstLine="210"/>
              <w:rPr>
                <w:iCs/>
              </w:rPr>
            </w:pPr>
          </w:p>
          <w:p w14:paraId="44A16FD4" w14:textId="66F93950" w:rsidR="0067535B" w:rsidRPr="00A83ABF" w:rsidRDefault="0067535B" w:rsidP="0067535B">
            <w:pPr>
              <w:spacing w:line="60" w:lineRule="auto"/>
              <w:ind w:leftChars="100" w:left="1470" w:hangingChars="600" w:hanging="1260"/>
              <w:rPr>
                <w:iCs/>
              </w:rPr>
            </w:pPr>
            <m:oMath>
              <m:r>
                <w:rPr>
                  <w:rFonts w:ascii="Cambria Math" w:hAnsi="Cambria Math"/>
                </w:rPr>
                <m:t>WTWI</m:t>
              </m:r>
              <m:sSubSup>
                <m:sSub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MR</m:t>
                  </m:r>
                </m:sub>
                <m:sup>
                  <m:r>
                    <w:rPr>
                      <w:rFonts w:ascii="Cambria Math" w:hAnsi="Cambria Math"/>
                    </w:rPr>
                    <m:t>τ</m:t>
                  </m:r>
                  <m:ctrlPr>
                    <w:rPr>
                      <w:rFonts w:ascii="Cambria Math" w:hAnsi="Cambria Math" w:hint="eastAsia"/>
                    </w:rPr>
                  </m:ctrlPr>
                </m:sup>
              </m:sSubSup>
            </m:oMath>
            <w:r>
              <w:rPr>
                <w:iCs/>
              </w:rPr>
              <w:tab/>
            </w:r>
            <w:r>
              <w:rPr>
                <w:iCs/>
              </w:rPr>
              <w:tab/>
            </w:r>
            <w:r>
              <w:rPr>
                <w:rFonts w:hint="eastAsia"/>
                <w:iCs/>
              </w:rPr>
              <w:t>:</w:t>
            </w:r>
            <w:r>
              <w:rPr>
                <w:iCs/>
              </w:rPr>
              <w:t xml:space="preserve"> WTW</w:t>
            </w:r>
            <w:r>
              <w:rPr>
                <w:rFonts w:hint="eastAsia"/>
                <w:iCs/>
              </w:rPr>
              <w:t>が直近のシナリオ生成で使用した株式オプション（年限</w:t>
            </w:r>
            <m:oMath>
              <m:r>
                <w:rPr>
                  <w:rFonts w:ascii="Cambria Math" w:hAnsi="Cambria Math"/>
                </w:rPr>
                <m:t>τ</m:t>
              </m:r>
            </m:oMath>
            <w:r>
              <w:rPr>
                <w:rFonts w:hint="eastAsia"/>
                <w:iCs/>
              </w:rPr>
              <w:t>年）のIV</w:t>
            </w:r>
          </w:p>
          <w:p w14:paraId="004BF5AE" w14:textId="6BBD1E39" w:rsidR="0067535B" w:rsidRPr="00427329" w:rsidRDefault="0067535B" w:rsidP="0061620E">
            <w:pPr>
              <w:spacing w:line="60" w:lineRule="auto"/>
              <w:ind w:leftChars="700" w:left="1470" w:firstLineChars="121" w:firstLine="254"/>
              <w:rPr>
                <w:iCs/>
              </w:rPr>
            </w:pPr>
          </w:p>
        </w:tc>
        <w:tc>
          <w:tcPr>
            <w:tcW w:w="702" w:type="dxa"/>
            <w:tcBorders>
              <w:top w:val="dotted" w:sz="4" w:space="0" w:color="808080" w:themeColor="background1" w:themeShade="80"/>
              <w:left w:val="dotted" w:sz="4" w:space="0" w:color="808080" w:themeColor="background1" w:themeShade="80"/>
              <w:bottom w:val="dotted" w:sz="4" w:space="0" w:color="808080" w:themeColor="background1" w:themeShade="80"/>
              <w:right w:val="dotted" w:sz="4" w:space="0" w:color="808080" w:themeColor="background1" w:themeShade="80"/>
            </w:tcBorders>
          </w:tcPr>
          <w:p w14:paraId="7D1CC9A2" w14:textId="77777777" w:rsidR="0067535B" w:rsidRDefault="0067535B" w:rsidP="0061620E"/>
        </w:tc>
      </w:tr>
    </w:tbl>
    <w:p w14:paraId="7430D97D" w14:textId="7051159A" w:rsidR="00743E9C" w:rsidRDefault="00743E9C" w:rsidP="00F05D61">
      <w:pPr>
        <w:spacing w:line="60" w:lineRule="auto"/>
        <w:ind w:firstLineChars="100" w:firstLine="210"/>
        <w:rPr>
          <w:iCs/>
        </w:rPr>
      </w:pPr>
    </w:p>
    <w:p w14:paraId="3A31C943" w14:textId="77777777" w:rsidR="0067535B" w:rsidRPr="00743E9C" w:rsidRDefault="0067535B" w:rsidP="00F05D61">
      <w:pPr>
        <w:spacing w:line="60" w:lineRule="auto"/>
        <w:ind w:firstLineChars="100" w:firstLine="210"/>
        <w:rPr>
          <w:iCs/>
        </w:rPr>
      </w:pPr>
    </w:p>
    <w:sectPr w:rsidR="0067535B" w:rsidRPr="00743E9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4F8A3" w14:textId="77777777" w:rsidR="001F49A7" w:rsidRDefault="001F49A7" w:rsidP="001E20FD">
      <w:r>
        <w:separator/>
      </w:r>
    </w:p>
  </w:endnote>
  <w:endnote w:type="continuationSeparator" w:id="0">
    <w:p w14:paraId="3F86C8EB" w14:textId="77777777" w:rsidR="001F49A7" w:rsidRDefault="001F49A7" w:rsidP="001E20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8CD79" w14:textId="77777777" w:rsidR="001F49A7" w:rsidRDefault="001F49A7" w:rsidP="001E20FD">
      <w:r>
        <w:separator/>
      </w:r>
    </w:p>
  </w:footnote>
  <w:footnote w:type="continuationSeparator" w:id="0">
    <w:p w14:paraId="2C654EC4" w14:textId="77777777" w:rsidR="001F49A7" w:rsidRDefault="001F49A7" w:rsidP="001E20FD">
      <w:r>
        <w:continuationSeparator/>
      </w:r>
    </w:p>
  </w:footnote>
  <w:footnote w:id="1">
    <w:p w14:paraId="1B25C618" w14:textId="4B3C24FB" w:rsidR="000B5EA2" w:rsidRDefault="000B5EA2">
      <w:pPr>
        <w:pStyle w:val="ad"/>
      </w:pPr>
      <w:r>
        <w:rPr>
          <w:rStyle w:val="af"/>
        </w:rPr>
        <w:footnoteRef/>
      </w:r>
      <w:r>
        <w:t xml:space="preserve"> Refinitive</w:t>
      </w:r>
      <w:r>
        <w:rPr>
          <w:rFonts w:hint="eastAsia"/>
        </w:rPr>
        <w:t>社の</w:t>
      </w:r>
    </w:p>
  </w:footnote>
  <w:footnote w:id="2">
    <w:p w14:paraId="200BA0E9" w14:textId="75151912" w:rsidR="000B5EA2" w:rsidRDefault="000B5EA2">
      <w:pPr>
        <w:pStyle w:val="ad"/>
      </w:pPr>
      <w:bookmarkStart w:id="2" w:name="_Ref52215485"/>
      <w:r>
        <w:rPr>
          <w:rStyle w:val="af"/>
        </w:rPr>
        <w:footnoteRef/>
      </w:r>
      <w:r>
        <w:t xml:space="preserve"> </w:t>
      </w:r>
      <w:r>
        <w:rPr>
          <w:rFonts w:hint="eastAsia"/>
        </w:rPr>
        <w:t>2020年9月現在、2010年3月末の値から使用している。</w:t>
      </w:r>
      <w:bookmarkEnd w:id="2"/>
    </w:p>
  </w:footnote>
  <w:footnote w:id="3">
    <w:p w14:paraId="2A7E26C5" w14:textId="18EEEBE9" w:rsidR="000B5EA2" w:rsidRPr="005615BB" w:rsidRDefault="000B5EA2">
      <w:pPr>
        <w:pStyle w:val="ad"/>
      </w:pPr>
      <w:r>
        <w:rPr>
          <w:rStyle w:val="af"/>
        </w:rPr>
        <w:footnoteRef/>
      </w:r>
      <w:r>
        <w:t xml:space="preserve"> DataStream</w:t>
      </w:r>
      <w:r>
        <w:rPr>
          <w:rFonts w:hint="eastAsia"/>
        </w:rPr>
        <w:t>におけるシリーズ及び、データタイプは●●である。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9E43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17583F58"/>
    <w:multiLevelType w:val="hybridMultilevel"/>
    <w:tmpl w:val="9F28392E"/>
    <w:lvl w:ilvl="0" w:tplc="D5FCDA34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39DF5855"/>
    <w:multiLevelType w:val="hybridMultilevel"/>
    <w:tmpl w:val="F2DA5A36"/>
    <w:lvl w:ilvl="0" w:tplc="7AB01C3C">
      <w:start w:val="2"/>
      <w:numFmt w:val="bullet"/>
      <w:lvlText w:val="・"/>
      <w:lvlJc w:val="left"/>
      <w:pPr>
        <w:ind w:left="1260" w:hanging="42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405F3443"/>
    <w:multiLevelType w:val="hybridMultilevel"/>
    <w:tmpl w:val="63CC0B5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4303841"/>
    <w:multiLevelType w:val="hybridMultilevel"/>
    <w:tmpl w:val="CDF82E54"/>
    <w:lvl w:ilvl="0" w:tplc="0409000F">
      <w:start w:val="1"/>
      <w:numFmt w:val="decimal"/>
      <w:lvlText w:val="%1."/>
      <w:lvlJc w:val="left"/>
      <w:pPr>
        <w:ind w:left="600" w:hanging="420"/>
      </w:pPr>
    </w:lvl>
    <w:lvl w:ilvl="1" w:tplc="04090017" w:tentative="1">
      <w:start w:val="1"/>
      <w:numFmt w:val="aiueoFullWidth"/>
      <w:lvlText w:val="(%2)"/>
      <w:lvlJc w:val="left"/>
      <w:pPr>
        <w:ind w:left="102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7" w:tentative="1">
      <w:start w:val="1"/>
      <w:numFmt w:val="aiueoFullWidth"/>
      <w:lvlText w:val="(%5)"/>
      <w:lvlJc w:val="left"/>
      <w:pPr>
        <w:ind w:left="228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7" w:tentative="1">
      <w:start w:val="1"/>
      <w:numFmt w:val="aiueoFullWidth"/>
      <w:lvlText w:val="(%8)"/>
      <w:lvlJc w:val="left"/>
      <w:pPr>
        <w:ind w:left="354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20"/>
      </w:pPr>
    </w:lvl>
  </w:abstractNum>
  <w:abstractNum w:abstractNumId="5" w15:restartNumberingAfterBreak="0">
    <w:nsid w:val="46277861"/>
    <w:multiLevelType w:val="hybridMultilevel"/>
    <w:tmpl w:val="822EA9BE"/>
    <w:lvl w:ilvl="0" w:tplc="0409000B">
      <w:start w:val="1"/>
      <w:numFmt w:val="bullet"/>
      <w:lvlText w:val=""/>
      <w:lvlJc w:val="left"/>
      <w:pPr>
        <w:ind w:left="57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7AB01C3C">
      <w:start w:val="2"/>
      <w:numFmt w:val="bullet"/>
      <w:lvlText w:val="・"/>
      <w:lvlJc w:val="left"/>
      <w:pPr>
        <w:ind w:left="1830" w:hanging="360"/>
      </w:pPr>
      <w:rPr>
        <w:rFonts w:ascii="ＭＳ 明朝" w:eastAsia="ＭＳ 明朝" w:hAnsi="ＭＳ 明朝" w:cs="Times New Roman" w:hint="eastAsia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6" w15:restartNumberingAfterBreak="0">
    <w:nsid w:val="65652BCC"/>
    <w:multiLevelType w:val="hybridMultilevel"/>
    <w:tmpl w:val="93EAE792"/>
    <w:lvl w:ilvl="0" w:tplc="0409000B">
      <w:start w:val="1"/>
      <w:numFmt w:val="bullet"/>
      <w:lvlText w:val="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removePersonalInformation/>
  <w:removeDateAndTime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8C8"/>
    <w:rsid w:val="0003352D"/>
    <w:rsid w:val="00054BCF"/>
    <w:rsid w:val="000B5EA2"/>
    <w:rsid w:val="000E02A1"/>
    <w:rsid w:val="0014021A"/>
    <w:rsid w:val="001428EE"/>
    <w:rsid w:val="00167D87"/>
    <w:rsid w:val="0018371D"/>
    <w:rsid w:val="00192870"/>
    <w:rsid w:val="00197C59"/>
    <w:rsid w:val="001E20FD"/>
    <w:rsid w:val="001F49A7"/>
    <w:rsid w:val="00207262"/>
    <w:rsid w:val="00272D79"/>
    <w:rsid w:val="00275846"/>
    <w:rsid w:val="002A5494"/>
    <w:rsid w:val="00345B0D"/>
    <w:rsid w:val="00372304"/>
    <w:rsid w:val="003B5519"/>
    <w:rsid w:val="003C4DAB"/>
    <w:rsid w:val="003E41F8"/>
    <w:rsid w:val="003F56D0"/>
    <w:rsid w:val="00427329"/>
    <w:rsid w:val="00483AEF"/>
    <w:rsid w:val="004921DA"/>
    <w:rsid w:val="004A0F77"/>
    <w:rsid w:val="005269DA"/>
    <w:rsid w:val="005615BB"/>
    <w:rsid w:val="005651A9"/>
    <w:rsid w:val="005A2BDC"/>
    <w:rsid w:val="005A5ADF"/>
    <w:rsid w:val="005B5E9E"/>
    <w:rsid w:val="005F3958"/>
    <w:rsid w:val="0067535B"/>
    <w:rsid w:val="00743E9C"/>
    <w:rsid w:val="007B1492"/>
    <w:rsid w:val="008A7B62"/>
    <w:rsid w:val="008B3248"/>
    <w:rsid w:val="00933B49"/>
    <w:rsid w:val="009342C4"/>
    <w:rsid w:val="00987406"/>
    <w:rsid w:val="00A039C5"/>
    <w:rsid w:val="00A04009"/>
    <w:rsid w:val="00A30875"/>
    <w:rsid w:val="00A3499E"/>
    <w:rsid w:val="00A53526"/>
    <w:rsid w:val="00A83ABF"/>
    <w:rsid w:val="00B86557"/>
    <w:rsid w:val="00BB18C8"/>
    <w:rsid w:val="00C03DED"/>
    <w:rsid w:val="00C31169"/>
    <w:rsid w:val="00D36D6E"/>
    <w:rsid w:val="00D568CE"/>
    <w:rsid w:val="00D74994"/>
    <w:rsid w:val="00D85016"/>
    <w:rsid w:val="00D967BD"/>
    <w:rsid w:val="00DD0288"/>
    <w:rsid w:val="00DD1971"/>
    <w:rsid w:val="00E07C19"/>
    <w:rsid w:val="00E226AC"/>
    <w:rsid w:val="00E76C6F"/>
    <w:rsid w:val="00F05C63"/>
    <w:rsid w:val="00F0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8EACC5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3E9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04009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吹き出し (文字)"/>
    <w:basedOn w:val="a0"/>
    <w:link w:val="a3"/>
    <w:uiPriority w:val="99"/>
    <w:semiHidden/>
    <w:rsid w:val="00A04009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04009"/>
    <w:pPr>
      <w:ind w:leftChars="400" w:left="840"/>
    </w:pPr>
  </w:style>
  <w:style w:type="character" w:styleId="a6">
    <w:name w:val="annotation reference"/>
    <w:basedOn w:val="a0"/>
    <w:uiPriority w:val="99"/>
    <w:semiHidden/>
    <w:unhideWhenUsed/>
    <w:rsid w:val="00167D87"/>
    <w:rPr>
      <w:sz w:val="18"/>
      <w:szCs w:val="18"/>
    </w:rPr>
  </w:style>
  <w:style w:type="paragraph" w:styleId="a7">
    <w:name w:val="annotation text"/>
    <w:basedOn w:val="a"/>
    <w:link w:val="a8"/>
    <w:uiPriority w:val="99"/>
    <w:semiHidden/>
    <w:unhideWhenUsed/>
    <w:rsid w:val="00167D87"/>
    <w:pPr>
      <w:jc w:val="left"/>
    </w:pPr>
  </w:style>
  <w:style w:type="character" w:customStyle="1" w:styleId="a8">
    <w:name w:val="コメント文字列 (文字)"/>
    <w:basedOn w:val="a0"/>
    <w:link w:val="a7"/>
    <w:uiPriority w:val="99"/>
    <w:semiHidden/>
    <w:rsid w:val="00167D87"/>
  </w:style>
  <w:style w:type="paragraph" w:styleId="a9">
    <w:name w:val="annotation subject"/>
    <w:basedOn w:val="a7"/>
    <w:next w:val="a7"/>
    <w:link w:val="aa"/>
    <w:uiPriority w:val="99"/>
    <w:semiHidden/>
    <w:unhideWhenUsed/>
    <w:rsid w:val="00167D87"/>
    <w:rPr>
      <w:b/>
      <w:bCs/>
    </w:rPr>
  </w:style>
  <w:style w:type="character" w:customStyle="1" w:styleId="aa">
    <w:name w:val="コメント内容 (文字)"/>
    <w:basedOn w:val="a8"/>
    <w:link w:val="a9"/>
    <w:uiPriority w:val="99"/>
    <w:semiHidden/>
    <w:rsid w:val="00167D87"/>
    <w:rPr>
      <w:b/>
      <w:bCs/>
    </w:rPr>
  </w:style>
  <w:style w:type="character" w:styleId="ab">
    <w:name w:val="Placeholder Text"/>
    <w:basedOn w:val="a0"/>
    <w:uiPriority w:val="99"/>
    <w:semiHidden/>
    <w:rsid w:val="00A30875"/>
    <w:rPr>
      <w:color w:val="808080"/>
    </w:rPr>
  </w:style>
  <w:style w:type="table" w:styleId="ac">
    <w:name w:val="Table Grid"/>
    <w:basedOn w:val="a1"/>
    <w:uiPriority w:val="39"/>
    <w:rsid w:val="003C4D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footnote text"/>
    <w:basedOn w:val="a"/>
    <w:link w:val="ae"/>
    <w:uiPriority w:val="99"/>
    <w:semiHidden/>
    <w:unhideWhenUsed/>
    <w:rsid w:val="001E20FD"/>
    <w:pPr>
      <w:snapToGrid w:val="0"/>
      <w:jc w:val="left"/>
    </w:pPr>
  </w:style>
  <w:style w:type="character" w:customStyle="1" w:styleId="ae">
    <w:name w:val="脚注文字列 (文字)"/>
    <w:basedOn w:val="a0"/>
    <w:link w:val="ad"/>
    <w:uiPriority w:val="99"/>
    <w:semiHidden/>
    <w:rsid w:val="001E20FD"/>
  </w:style>
  <w:style w:type="character" w:styleId="af">
    <w:name w:val="footnote reference"/>
    <w:basedOn w:val="a0"/>
    <w:uiPriority w:val="99"/>
    <w:semiHidden/>
    <w:unhideWhenUsed/>
    <w:rsid w:val="001E20FD"/>
    <w:rPr>
      <w:vertAlign w:val="superscript"/>
    </w:rPr>
  </w:style>
  <w:style w:type="paragraph" w:styleId="af0">
    <w:name w:val="header"/>
    <w:basedOn w:val="a"/>
    <w:link w:val="af1"/>
    <w:uiPriority w:val="99"/>
    <w:unhideWhenUsed/>
    <w:rsid w:val="000B5EA2"/>
    <w:pPr>
      <w:tabs>
        <w:tab w:val="center" w:pos="4252"/>
        <w:tab w:val="right" w:pos="8504"/>
      </w:tabs>
      <w:snapToGrid w:val="0"/>
    </w:pPr>
  </w:style>
  <w:style w:type="character" w:customStyle="1" w:styleId="af1">
    <w:name w:val="ヘッダー (文字)"/>
    <w:basedOn w:val="a0"/>
    <w:link w:val="af0"/>
    <w:uiPriority w:val="99"/>
    <w:rsid w:val="000B5EA2"/>
  </w:style>
  <w:style w:type="paragraph" w:styleId="af2">
    <w:name w:val="footer"/>
    <w:basedOn w:val="a"/>
    <w:link w:val="af3"/>
    <w:uiPriority w:val="99"/>
    <w:unhideWhenUsed/>
    <w:rsid w:val="000B5EA2"/>
    <w:pPr>
      <w:tabs>
        <w:tab w:val="center" w:pos="4252"/>
        <w:tab w:val="right" w:pos="8504"/>
      </w:tabs>
      <w:snapToGrid w:val="0"/>
    </w:pPr>
  </w:style>
  <w:style w:type="character" w:customStyle="1" w:styleId="af3">
    <w:name w:val="フッター (文字)"/>
    <w:basedOn w:val="a0"/>
    <w:link w:val="af2"/>
    <w:uiPriority w:val="99"/>
    <w:rsid w:val="000B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579</Words>
  <Characters>3304</Characters>
  <Application>Microsoft Office Word</Application>
  <DocSecurity>0</DocSecurity>
  <Lines>27</Lines>
  <Paragraphs>7</Paragraphs>
  <ScaleCrop>false</ScaleCrop>
  <Company/>
  <LinksUpToDate>false</LinksUpToDate>
  <CharactersWithSpaces>3876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2020-10-01T03:03:00Z</dcterms:created>
  <dcterms:modified xsi:type="dcterms:W3CDTF">2020-10-01T03:03:00Z</dcterms:modified>
</cp:coreProperties>
</file>