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9F1E9" w14:textId="77777777" w:rsidR="00624328" w:rsidRDefault="009A06B5">
      <w:pPr>
        <w:spacing w:after="40"/>
        <w:rPr>
          <w:lang w:eastAsia="ja-JP"/>
        </w:rPr>
      </w:pPr>
      <w:r>
        <w:rPr>
          <w:b/>
          <w:color w:val="1F497D"/>
          <w:sz w:val="30"/>
          <w:lang w:eastAsia="ja-JP"/>
        </w:rPr>
        <w:t>Salesforce（イベントバス）連携 — データ取り込みアーキテクチャ（ご共有）</w:t>
      </w:r>
    </w:p>
    <w:p w14:paraId="0539EE5E" w14:textId="77777777" w:rsidR="009679A7" w:rsidRDefault="009679A7">
      <w:pPr>
        <w:rPr>
          <w:color w:val="808080"/>
          <w:sz w:val="19"/>
          <w:lang w:eastAsia="ja-JP"/>
        </w:rPr>
      </w:pPr>
    </w:p>
    <w:p w14:paraId="2C4A4F1F" w14:textId="68F7CB2A" w:rsidR="00624328" w:rsidRDefault="009A06B5">
      <w:pPr>
        <w:rPr>
          <w:lang w:eastAsia="ja-JP"/>
        </w:rPr>
      </w:pPr>
      <w:r>
        <w:rPr>
          <w:b/>
          <w:sz w:val="22"/>
          <w:lang w:eastAsia="ja-JP"/>
        </w:rPr>
        <w:t>【結論】Salesforce CDC を「ブリッジ」で Kafka に載せ、以降は既存の CDC 基盤をそのまま再利用する構成を推奨します。</w:t>
      </w:r>
    </w:p>
    <w:p w14:paraId="39CA225E" w14:textId="77777777" w:rsidR="00624328" w:rsidRDefault="009A06B5">
      <w:pPr>
        <w:spacing w:after="160"/>
        <w:jc w:val="center"/>
      </w:pPr>
      <w:r w:rsidRPr="00EB3FE8">
        <w:rPr>
          <w:noProof/>
          <w:highlight w:val="yellow"/>
          <w:shd w:val="clear" w:color="auto" w:fill="F79646" w:themeFill="accent6"/>
        </w:rPr>
        <w:drawing>
          <wp:inline distT="0" distB="0" distL="0" distR="0" wp14:anchorId="2B718236" wp14:editId="106B470B">
            <wp:extent cx="3718112" cy="6439188"/>
            <wp:effectExtent l="12700" t="12700" r="1587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-ca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7185" cy="6506856"/>
                    </a:xfrm>
                    <a:prstGeom prst="rect">
                      <a:avLst/>
                    </a:prstGeom>
                    <a:ln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7CDA89D6" w14:textId="77777777" w:rsidR="002F5906" w:rsidRDefault="002F5906">
      <w:pPr>
        <w:spacing w:before="200" w:after="80"/>
        <w:rPr>
          <w:b/>
          <w:color w:val="1F497D"/>
          <w:sz w:val="23"/>
        </w:rPr>
      </w:pPr>
    </w:p>
    <w:p w14:paraId="409D15FD" w14:textId="77777777" w:rsidR="002F5906" w:rsidRDefault="002F5906">
      <w:pPr>
        <w:spacing w:before="200" w:after="80"/>
        <w:rPr>
          <w:b/>
          <w:color w:val="1F497D"/>
          <w:sz w:val="23"/>
        </w:rPr>
      </w:pPr>
    </w:p>
    <w:p w14:paraId="64FB4491" w14:textId="77777777" w:rsidR="002F5906" w:rsidRDefault="002F5906">
      <w:pPr>
        <w:spacing w:before="200" w:after="80"/>
        <w:rPr>
          <w:b/>
          <w:color w:val="1F497D"/>
          <w:sz w:val="23"/>
        </w:rPr>
      </w:pPr>
    </w:p>
    <w:p w14:paraId="1A953C47" w14:textId="656168B8" w:rsidR="00624328" w:rsidRDefault="009A06B5">
      <w:pPr>
        <w:spacing w:before="200" w:after="80"/>
      </w:pPr>
      <w:r>
        <w:rPr>
          <w:b/>
          <w:color w:val="1F497D"/>
          <w:sz w:val="23"/>
        </w:rPr>
        <w:lastRenderedPageBreak/>
        <w:t xml:space="preserve">■ </w:t>
      </w:r>
      <w:proofErr w:type="spellStart"/>
      <w:r>
        <w:rPr>
          <w:b/>
          <w:color w:val="1F497D"/>
          <w:sz w:val="23"/>
        </w:rPr>
        <w:t>ポイント</w:t>
      </w:r>
      <w:proofErr w:type="spellEnd"/>
    </w:p>
    <w:p w14:paraId="6A36383F" w14:textId="77777777" w:rsidR="00624328" w:rsidRDefault="009A06B5">
      <w:pPr>
        <w:pStyle w:val="a0"/>
        <w:spacing w:after="60"/>
        <w:rPr>
          <w:lang w:eastAsia="ja-JP"/>
        </w:rPr>
      </w:pPr>
      <w:proofErr w:type="spellStart"/>
      <w:r>
        <w:rPr>
          <w:lang w:eastAsia="ja-JP"/>
        </w:rPr>
        <w:t>EventBus</w:t>
      </w:r>
      <w:proofErr w:type="spellEnd"/>
      <w:r>
        <w:rPr>
          <w:lang w:eastAsia="ja-JP"/>
        </w:rPr>
        <w:t xml:space="preserve"> と Kafka の間には「ブリッジ」が必要。CDP に既製コンポーネントは無いが、公式 Java クライアントを再利用でき、実体はラッパーに収束。</w:t>
      </w:r>
    </w:p>
    <w:p w14:paraId="3D18BB87" w14:textId="228CD640" w:rsidR="00624328" w:rsidRDefault="009A06B5">
      <w:pPr>
        <w:pStyle w:val="a0"/>
        <w:spacing w:after="60"/>
        <w:rPr>
          <w:lang w:eastAsia="ja-JP"/>
        </w:rPr>
      </w:pPr>
      <w:r>
        <w:rPr>
          <w:lang w:eastAsia="ja-JP"/>
        </w:rPr>
        <w:t>Kafka から下流（Flink → Medallion）は既存の Oracle 系 CDC 基盤を流用。CDC エンジンを Flink に統一でき</w:t>
      </w:r>
      <w:r w:rsidR="00AD795F">
        <w:rPr>
          <w:rFonts w:hint="eastAsia"/>
          <w:lang w:eastAsia="ja-JP"/>
        </w:rPr>
        <w:t>る</w:t>
      </w:r>
      <w:r>
        <w:rPr>
          <w:rFonts w:hint="eastAsia"/>
          <w:lang w:eastAsia="ja-JP"/>
        </w:rPr>
        <w:t>。</w:t>
      </w:r>
    </w:p>
    <w:p w14:paraId="78DF006F" w14:textId="77777777" w:rsidR="00624328" w:rsidRDefault="009A06B5">
      <w:pPr>
        <w:pStyle w:val="a0"/>
        <w:spacing w:after="60"/>
        <w:rPr>
          <w:lang w:eastAsia="ja-JP"/>
        </w:rPr>
      </w:pPr>
      <w:r>
        <w:rPr>
          <w:lang w:eastAsia="ja-JP"/>
        </w:rPr>
        <w:t xml:space="preserve">欠損防止（再開）は </w:t>
      </w:r>
      <w:proofErr w:type="spellStart"/>
      <w:r>
        <w:rPr>
          <w:lang w:eastAsia="ja-JP"/>
        </w:rPr>
        <w:t>replayId</w:t>
      </w:r>
      <w:proofErr w:type="spellEnd"/>
      <w:r>
        <w:rPr>
          <w:lang w:eastAsia="ja-JP"/>
        </w:rPr>
        <w:t xml:space="preserve"> で担保。停止・再起動時に前回位置から自動再開でき、欠損・重複を制御可能。</w:t>
      </w:r>
    </w:p>
    <w:p w14:paraId="1E208CBA" w14:textId="77777777" w:rsidR="00624328" w:rsidRDefault="009A06B5">
      <w:pPr>
        <w:spacing w:before="200" w:after="80"/>
      </w:pPr>
      <w:r>
        <w:rPr>
          <w:b/>
          <w:color w:val="1F497D"/>
          <w:sz w:val="23"/>
        </w:rPr>
        <w:t xml:space="preserve">■ </w:t>
      </w:r>
      <w:proofErr w:type="spellStart"/>
      <w:r>
        <w:rPr>
          <w:b/>
          <w:color w:val="1F497D"/>
          <w:sz w:val="23"/>
        </w:rPr>
        <w:t>確認事項</w:t>
      </w:r>
      <w:proofErr w:type="spellEnd"/>
    </w:p>
    <w:p w14:paraId="61C36C59" w14:textId="77777777" w:rsidR="00624328" w:rsidRDefault="009A06B5">
      <w:pPr>
        <w:pStyle w:val="a0"/>
        <w:spacing w:after="60"/>
        <w:rPr>
          <w:lang w:eastAsia="ja-JP"/>
        </w:rPr>
      </w:pPr>
      <w:r>
        <w:rPr>
          <w:lang w:eastAsia="ja-JP"/>
        </w:rPr>
        <w:t>「230 社」のトポロジ：独立 230 org か 1 org 複数アカウントかで、購読の多重度とコネクタの台数設計が変わります（渡邊様に確認したい最優先事項）。</w:t>
      </w:r>
    </w:p>
    <w:p w14:paraId="212075B0" w14:textId="77777777" w:rsidR="00624328" w:rsidRDefault="009A06B5">
      <w:pPr>
        <w:pStyle w:val="a0"/>
        <w:spacing w:after="60"/>
      </w:pPr>
      <w:proofErr w:type="spellStart"/>
      <w:r>
        <w:t>ネットワーク出口：CDP</w:t>
      </w:r>
      <w:proofErr w:type="spellEnd"/>
      <w:r>
        <w:t xml:space="preserve"> </w:t>
      </w:r>
      <w:proofErr w:type="spellStart"/>
      <w:r>
        <w:t>から</w:t>
      </w:r>
      <w:proofErr w:type="spellEnd"/>
      <w:r>
        <w:t xml:space="preserve"> Salesforce の Pub/Sub API（api.pubsub.salesforce.com:7443）への outbound TLS </w:t>
      </w:r>
      <w:proofErr w:type="spellStart"/>
      <w:r>
        <w:t>経路の許可が必要です</w:t>
      </w:r>
      <w:proofErr w:type="spellEnd"/>
      <w:r>
        <w:t>。</w:t>
      </w:r>
    </w:p>
    <w:p w14:paraId="754FB53B" w14:textId="42F30634" w:rsidR="00624328" w:rsidRDefault="009A06B5">
      <w:pPr>
        <w:pStyle w:val="a0"/>
        <w:spacing w:after="60"/>
        <w:rPr>
          <w:lang w:eastAsia="ja-JP"/>
        </w:rPr>
      </w:pPr>
      <w:r>
        <w:rPr>
          <w:lang w:eastAsia="ja-JP"/>
        </w:rPr>
        <w:t xml:space="preserve">CDC 対象 </w:t>
      </w:r>
      <w:proofErr w:type="spellStart"/>
      <w:r>
        <w:rPr>
          <w:lang w:eastAsia="ja-JP"/>
        </w:rPr>
        <w:t>SObject</w:t>
      </w:r>
      <w:proofErr w:type="spellEnd"/>
      <w:r>
        <w:rPr>
          <w:lang w:eastAsia="ja-JP"/>
        </w:rPr>
        <w:t xml:space="preserve"> の一覧提供のお願い：CDC の</w:t>
      </w:r>
      <w:r w:rsidR="00FF5FB4">
        <w:rPr>
          <w:rFonts w:hint="eastAsia"/>
          <w:lang w:eastAsia="ja-JP"/>
        </w:rPr>
        <w:t>Envelope</w:t>
      </w:r>
      <w:r>
        <w:rPr>
          <w:lang w:eastAsia="ja-JP"/>
        </w:rPr>
        <w:t>（</w:t>
      </w:r>
      <w:proofErr w:type="spellStart"/>
      <w:r>
        <w:rPr>
          <w:lang w:eastAsia="ja-JP"/>
        </w:rPr>
        <w:t>ChangeEventHeader</w:t>
      </w:r>
      <w:proofErr w:type="spellEnd"/>
      <w:r>
        <w:rPr>
          <w:lang w:eastAsia="ja-JP"/>
        </w:rPr>
        <w:t xml:space="preserve">）は全対象で共通ですが、payload の項目は対象オブジェクトごと（標準＋カスタム項目 __c）に異なります。対象 </w:t>
      </w:r>
      <w:proofErr w:type="spellStart"/>
      <w:r>
        <w:rPr>
          <w:lang w:eastAsia="ja-JP"/>
        </w:rPr>
        <w:t>SObject</w:t>
      </w:r>
      <w:proofErr w:type="spellEnd"/>
      <w:r>
        <w:rPr>
          <w:lang w:eastAsia="ja-JP"/>
        </w:rPr>
        <w:t xml:space="preserve"> の一覧をいただければ、下流のスキーマ設計・マッピングを具体化できます。</w:t>
      </w:r>
    </w:p>
    <w:sectPr w:rsidR="00624328" w:rsidSect="00781D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7133812">
    <w:abstractNumId w:val="8"/>
  </w:num>
  <w:num w:numId="2" w16cid:durableId="141974190">
    <w:abstractNumId w:val="6"/>
  </w:num>
  <w:num w:numId="3" w16cid:durableId="83310018">
    <w:abstractNumId w:val="5"/>
  </w:num>
  <w:num w:numId="4" w16cid:durableId="954290546">
    <w:abstractNumId w:val="4"/>
  </w:num>
  <w:num w:numId="5" w16cid:durableId="1072243217">
    <w:abstractNumId w:val="7"/>
  </w:num>
  <w:num w:numId="6" w16cid:durableId="1266232420">
    <w:abstractNumId w:val="3"/>
  </w:num>
  <w:num w:numId="7" w16cid:durableId="729116126">
    <w:abstractNumId w:val="2"/>
  </w:num>
  <w:num w:numId="8" w16cid:durableId="1689988564">
    <w:abstractNumId w:val="1"/>
  </w:num>
  <w:num w:numId="9" w16cid:durableId="136755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906"/>
    <w:rsid w:val="00304129"/>
    <w:rsid w:val="00326F90"/>
    <w:rsid w:val="003443FF"/>
    <w:rsid w:val="0053064E"/>
    <w:rsid w:val="005348C3"/>
    <w:rsid w:val="00624328"/>
    <w:rsid w:val="00781DA4"/>
    <w:rsid w:val="009679A7"/>
    <w:rsid w:val="00996373"/>
    <w:rsid w:val="009A06B5"/>
    <w:rsid w:val="00AA1D8D"/>
    <w:rsid w:val="00AD795F"/>
    <w:rsid w:val="00B47730"/>
    <w:rsid w:val="00B8318D"/>
    <w:rsid w:val="00CB0664"/>
    <w:rsid w:val="00E27706"/>
    <w:rsid w:val="00EB3FE8"/>
    <w:rsid w:val="00FC693F"/>
    <w:rsid w:val="00FF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15EC6C"/>
  <w14:defaultImageDpi w14:val="300"/>
  <w15:docId w15:val="{0D3CB01B-6243-0449-B8A8-CA66299FB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9ce5c7-7ac0-470a-8fb0-80b8dfe33f1c">
      <Terms xmlns="http://schemas.microsoft.com/office/infopath/2007/PartnerControls"/>
    </lcf76f155ced4ddcb4097134ff3c332f>
    <TaxCatchAll xmlns="00dc9add-bb5d-4974-938e-6de906df2254" xsi:nil="true"/>
    <CONTENTS xmlns="879ce5c7-7ac0-470a-8fb0-80b8dfe33f1c" xsi:nil="true"/>
    <_x8cc7__x6599__x8aac__x660e_ xmlns="879ce5c7-7ac0-470a-8fb0-80b8dfe33f1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23F1E4B07BBC341A8F6905F09A2526F" ma:contentTypeVersion="17" ma:contentTypeDescription="新しいドキュメントを作成します。" ma:contentTypeScope="" ma:versionID="1437aaece15ac943c27d84c7bd287707">
  <xsd:schema xmlns:xsd="http://www.w3.org/2001/XMLSchema" xmlns:xs="http://www.w3.org/2001/XMLSchema" xmlns:p="http://schemas.microsoft.com/office/2006/metadata/properties" xmlns:ns2="879ce5c7-7ac0-470a-8fb0-80b8dfe33f1c" xmlns:ns3="00dc9add-bb5d-4974-938e-6de906df2254" targetNamespace="http://schemas.microsoft.com/office/2006/metadata/properties" ma:root="true" ma:fieldsID="a41d73b5ccc80413fe00e27c354e6c45" ns2:_="" ns3:_="">
    <xsd:import namespace="879ce5c7-7ac0-470a-8fb0-80b8dfe33f1c"/>
    <xsd:import namespace="00dc9add-bb5d-4974-938e-6de906df22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CONTENTS" minOccurs="0"/>
                <xsd:element ref="ns2:_x8cc7__x6599__x8aac__x660e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ce5c7-7ac0-470a-8fb0-80b8dfe33f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画像タグ" ma:readOnly="false" ma:fieldId="{5cf76f15-5ced-4ddc-b409-7134ff3c332f}" ma:taxonomyMulti="true" ma:sspId="def91d17-8bee-472f-b8e3-30905430c6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NTENTS" ma:index="22" nillable="true" ma:displayName="CONTENTS" ma:format="Dropdown" ma:internalName="CONTENTS">
      <xsd:simpleType>
        <xsd:restriction base="dms:Text">
          <xsd:maxLength value="255"/>
        </xsd:restriction>
      </xsd:simpleType>
    </xsd:element>
    <xsd:element name="_x8cc7__x6599__x8aac__x660e_" ma:index="23" nillable="true" ma:displayName="資料説明" ma:format="Dropdown" ma:internalName="_x8cc7__x6599__x8aac__x660e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dc9add-bb5d-4974-938e-6de906df225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5f91764-4324-4dd1-9de8-4bb0ffe7790b}" ma:internalName="TaxCatchAll" ma:showField="CatchAllData" ma:web="00dc9add-bb5d-4974-938e-6de906df22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1E3FC2-82F6-4675-8B06-0866EAD95C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19E608-A421-4418-9FBB-4CB4AFED0EF5}">
  <ds:schemaRefs>
    <ds:schemaRef ds:uri="http://schemas.microsoft.com/office/2006/metadata/properties"/>
    <ds:schemaRef ds:uri="http://schemas.microsoft.com/office/infopath/2007/PartnerControls"/>
    <ds:schemaRef ds:uri="879ce5c7-7ac0-470a-8fb0-80b8dfe33f1c"/>
    <ds:schemaRef ds:uri="00dc9add-bb5d-4974-938e-6de906df2254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BE5332A-F5DD-4484-A0DB-E8A912A4C8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9ce5c7-7ac0-470a-8fb0-80b8dfe33f1c"/>
    <ds:schemaRef ds:uri="00dc9add-bb5d-4974-938e-6de906df22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7a81c19-a273-44e1-9693-b110b3b63ca9}" enabled="0" method="" siteId="{a7a81c19-a273-44e1-9693-b110b3b63ca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三ツ井　涼太</cp:lastModifiedBy>
  <cp:revision>9</cp:revision>
  <dcterms:created xsi:type="dcterms:W3CDTF">2013-12-23T23:15:00Z</dcterms:created>
  <dcterms:modified xsi:type="dcterms:W3CDTF">2026-08-06T01:01:00Z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0x010100D23F1E4B07BBC341A8F6905F09A2526F</vt:lpwstr>
  </property>
  <property fmtid="{D5CDD505-2E9C-101B-9397-08002B2CF9AE}" pid="3" name="MediaServiceImageTags">
    <vt:lpwstr/>
  </property>
</Properties>
</file>