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Hiragino Sans" w:hAnsi="Hiragino Sans" w:eastAsia="Hiragino Sans"/>
          <w:b/>
          <w:i w:val="0"/>
          <w:color w:val="5B6B7A"/>
          <w:sz w:val="15"/>
        </w:rPr>
        <w:t>NEDO Challenge, Satellite Data  |  1ページ企画書</w:t>
      </w:r>
    </w:p>
    <w:p>
      <w:pPr>
        <w:spacing w:before="0" w:after="20" w:line="240" w:lineRule="auto"/>
        <w:jc w:val="center"/>
      </w:pPr>
      <w:r>
        <w:rPr>
          <w:rFonts w:ascii="Hiragino Sans" w:hAnsi="Hiragino Sans" w:eastAsia="Hiragino Sans"/>
          <w:b/>
          <w:i w:val="0"/>
          <w:color w:val="0B2545"/>
          <w:sz w:val="34"/>
        </w:rPr>
        <w:t>河道の「流下能力変化」モニタリング</w:t>
      </w:r>
    </w:p>
    <w:p>
      <w:pPr>
        <w:spacing w:before="0" w:after="100" w:line="240" w:lineRule="auto"/>
        <w:jc w:val="center"/>
      </w:pPr>
      <w:r>
        <w:rPr>
          <w:rFonts w:ascii="Hiragino Sans" w:hAnsi="Hiragino Sans" w:eastAsia="Hiragino Sans"/>
          <w:b w:val="0"/>
          <w:i w:val="0"/>
          <w:color w:val="5B6B7A"/>
          <w:sz w:val="18"/>
        </w:rPr>
        <w:t>河川の広域・反復観測から、測量・掘削・伐採が必要な区間を発見する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テーマ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テーマ1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主利用者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河川管理者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衛星の役割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河道・河岸の時系列変化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GRIDの役割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保全計画</w:t>
            </w:r>
          </w:p>
        </w:tc>
      </w:tr>
    </w:tbl>
    <w:p>
      <w:pPr>
        <w:spacing w:after="20"/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88"/>
            <w:vAlign w:val="center"/>
            <w:shd w:fill="EAF3F8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7"/>
              </w:rPr>
              <w:t>提案の核心</w:t>
            </w:r>
          </w:p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7"/>
              </w:rPr>
              <w:t>衛星で河道内の土砂堆積・砂州・植生・河岸変化を追跡し、現地測量・河道掘削・樹木伐採の候補区間を抽出する。衛星は水深や安全性を断定せず、広域スクリーニングを担う。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社会課題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河道延長が長く、現地測量を高頻度に実施できない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土砂・樹木・河岸変化が流下能力や洪水リスクに影響する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管理者が次に調査すべき区間を絞りにくい</w:t>
            </w:r>
          </w:p>
        </w:tc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衛星だからできること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SAR・光学・標高・懸濁物質データを時系列統合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砂州・濁水・植生・河岸線の変化候補を抽出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広域の変化を同じ基準で比較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サービス像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河道区間ごとの変化・信頼度マップ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測量・掘削・伐採候補のリスト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現地確認後に状態を更新する管理画面</w:t>
            </w:r>
          </w:p>
        </w:tc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GRIDを使う理由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区間別の保全優先順位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予算・施工班・環境制約を含む複数年度計画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流下能力低下リスクと維持費の比較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評価軸</w:t>
            </w:r>
          </w:p>
        </w:tc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プロトタイプで示すこと</w:t>
            </w:r>
          </w:p>
        </w:tc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目安となる指標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検出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過去の測量・点検記録と照合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変化候補の再現率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業務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候補区間を現地担当者が確認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測量対象の絞り込み率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価値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衛星なしケースと比較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調査時間・費用の削減</w:t>
            </w:r>
          </w:p>
        </w:tc>
      </w:tr>
    </w:tbl>
    <w:p>
      <w:pPr>
        <w:spacing w:before="80" w:after="40" w:line="240" w:lineRule="auto"/>
      </w:pPr>
      <w:r>
        <w:rPr>
          <w:rFonts w:ascii="Hiragino Sans" w:hAnsi="Hiragino Sans" w:eastAsia="Hiragino Sans"/>
          <w:b/>
          <w:i w:val="0"/>
          <w:color w:val="8A6500"/>
          <w:sz w:val="16"/>
        </w:rPr>
        <w:t xml:space="preserve">最大の反論と回答  </w:t>
      </w:r>
      <w:r>
        <w:rPr>
          <w:rFonts w:ascii="Hiragino Sans" w:hAnsi="Hiragino Sans" w:eastAsia="Hiragino Sans"/>
          <w:b w:val="0"/>
          <w:i w:val="0"/>
          <w:color w:val="0B2545"/>
          <w:sz w:val="16"/>
        </w:rPr>
        <w:t>衛星から河床高や航路安全性を直接判定できない。対策として、出力を「測量・点検候補」に限定し、音響測深等の現地確認を前提にする。</w:t>
      </w:r>
    </w:p>
    <w:p>
      <w:pPr>
        <w:spacing w:before="40" w:after="0" w:line="240" w:lineRule="auto"/>
      </w:pPr>
      <w:r>
        <w:rPr>
          <w:rFonts w:ascii="Hiragino Sans" w:hAnsi="Hiragino Sans" w:eastAsia="Hiragino Sans"/>
          <w:b/>
          <w:i w:val="0"/>
          <w:color w:val="5B6B7A"/>
          <w:sz w:val="13"/>
        </w:rPr>
        <w:t>出典：</w:t>
      </w:r>
      <w:r>
        <w:rPr>
          <w:rFonts w:ascii="Hiragino Sans" w:hAnsi="Hiragino Sans" w:eastAsia="Hiragino Sans"/>
          <w:b w:val="0"/>
          <w:i w:val="0"/>
          <w:color w:val="5B6B7A"/>
          <w:sz w:val="13"/>
        </w:rPr>
        <w:t>NEDO公募・提供データ、国交省「河川維持管理基準」｜図版アイコン：Tabler Icons（MIT）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Hiragino Sans" w:hAnsi="Hiragino Sans" w:eastAsia="Hiragino Sans"/>
          <w:b/>
          <w:i w:val="0"/>
          <w:color w:val="5B6B7A"/>
          <w:sz w:val="15"/>
        </w:rPr>
        <w:t>NEDO Challenge, Satellite Data  |  1ページ企画書</w:t>
      </w:r>
    </w:p>
    <w:p>
      <w:pPr>
        <w:spacing w:before="0" w:after="20" w:line="240" w:lineRule="auto"/>
        <w:jc w:val="center"/>
      </w:pPr>
      <w:r>
        <w:rPr>
          <w:rFonts w:ascii="Hiragino Sans" w:hAnsi="Hiragino Sans" w:eastAsia="Hiragino Sans"/>
          <w:b/>
          <w:i w:val="0"/>
          <w:color w:val="0B2545"/>
          <w:sz w:val="34"/>
        </w:rPr>
        <w:t>臨海部の物流・産業機能低下モニタリング</w:t>
      </w:r>
    </w:p>
    <w:p>
      <w:pPr>
        <w:spacing w:before="0" w:after="100" w:line="240" w:lineRule="auto"/>
        <w:jc w:val="center"/>
      </w:pPr>
      <w:r>
        <w:rPr>
          <w:rFonts w:ascii="Hiragino Sans" w:hAnsi="Hiragino Sans" w:eastAsia="Hiragino Sans"/>
          <w:b w:val="0"/>
          <w:i w:val="0"/>
          <w:color w:val="5B6B7A"/>
          <w:sz w:val="18"/>
        </w:rPr>
        <w:t>港湾単体ではなく、背後地・道路・物流拠点を含む「残存機能」を広域把握する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テーマ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テーマ2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主利用者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港湾管理者・物流事業者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衛星の役割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臨海部の面的な状態変化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GRIDの役割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代替シナリオ</w:t>
            </w:r>
          </w:p>
        </w:tc>
      </w:tr>
    </w:tbl>
    <w:p>
      <w:pPr>
        <w:spacing w:after="20"/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88"/>
            <w:vAlign w:val="center"/>
            <w:shd w:fill="EAF3F8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7"/>
              </w:rPr>
              <w:t>提案の核心</w:t>
            </w:r>
          </w:p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7"/>
              </w:rPr>
              <w:t>港湾・ヤード・アクセス道路・工場・燃料基地などの被災・機能低下候補を衛星で把握し、港湾機能がどこまで残っているかを信頼度付きで提示する。安全性や荷役能力を衛星だけで断定しない。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社会課題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港湾災害は、岸壁だけでなく背後地・道路・電力・物流の連鎖で影響が広がる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複数組織の情報が分散し、臨海部全体の状況が見えにくい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現地に入れない時間帯の初期把握が遅れる</w:t>
            </w:r>
          </w:p>
        </w:tc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衛星だからできること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SAR・光学で浸水・堆積・漂流物・アクセス障害候補を把握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複数港・背後地を同じ基準で比較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災害前後の面的変化を継続更新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サービス像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臨海部の機能低下・残存機能マップ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港湾・道路・物流拠点の信頼度付き状態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追加確認が必要な地点と情報不足の明示</w:t>
            </w:r>
          </w:p>
        </w:tc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GRIDを使う理由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港湾機能の部分低下をシナリオ化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代替港・代替陸上輸送の比較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貨物滞留・切替影響の推定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評価軸</w:t>
            </w:r>
          </w:p>
        </w:tc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プロトタイプで示すこと</w:t>
            </w:r>
          </w:p>
        </w:tc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目安となる指標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把握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過去災害・荒天事例で再現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初期状況把握時間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衛星価値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公開情報のみと比較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追加検出された陸上障害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実用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担当者レビューで評価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シナリオの採用可能率</w:t>
            </w:r>
          </w:p>
        </w:tc>
      </w:tr>
    </w:tbl>
    <w:p>
      <w:pPr>
        <w:spacing w:before="80" w:after="40" w:line="240" w:lineRule="auto"/>
      </w:pPr>
      <w:r>
        <w:rPr>
          <w:rFonts w:ascii="Hiragino Sans" w:hAnsi="Hiragino Sans" w:eastAsia="Hiragino Sans"/>
          <w:b/>
          <w:i w:val="0"/>
          <w:color w:val="8A6500"/>
          <w:sz w:val="16"/>
        </w:rPr>
        <w:t xml:space="preserve">最大の反論と回答  </w:t>
      </w:r>
      <w:r>
        <w:rPr>
          <w:rFonts w:ascii="Hiragino Sans" w:hAnsi="Hiragino Sans" w:eastAsia="Hiragino Sans"/>
          <w:b w:val="0"/>
          <w:i w:val="0"/>
          <w:color w:val="0B2545"/>
          <w:sz w:val="16"/>
        </w:rPr>
        <w:t>サイバーポート等との重複、港湾安全性の断定、船社データ不足がリスク。主利用者を港湾管理者か船社のどちらかに絞り、衛星は陸上側の不完全情報に限定する。</w:t>
      </w:r>
    </w:p>
    <w:p>
      <w:pPr>
        <w:spacing w:before="40" w:after="0" w:line="240" w:lineRule="auto"/>
      </w:pPr>
      <w:r>
        <w:rPr>
          <w:rFonts w:ascii="Hiragino Sans" w:hAnsi="Hiragino Sans" w:eastAsia="Hiragino Sans"/>
          <w:b/>
          <w:i w:val="0"/>
          <w:color w:val="5B6B7A"/>
          <w:sz w:val="13"/>
        </w:rPr>
        <w:t>出典：</w:t>
      </w:r>
      <w:r>
        <w:rPr>
          <w:rFonts w:ascii="Hiragino Sans" w:hAnsi="Hiragino Sans" w:eastAsia="Hiragino Sans"/>
          <w:b w:val="0"/>
          <w:i w:val="0"/>
          <w:color w:val="5B6B7A"/>
          <w:sz w:val="13"/>
        </w:rPr>
        <w:t>NEDO公募・提供データ、国交省・JAXAの港湾衛星活用、GRID海運事例｜図版アイコン：Tabler Icons（MIT）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Hiragino Sans" w:hAnsi="Hiragino Sans" w:eastAsia="Hiragino Sans"/>
          <w:b/>
          <w:i w:val="0"/>
          <w:color w:val="5B6B7A"/>
          <w:sz w:val="15"/>
        </w:rPr>
        <w:t>NEDO Challenge, Satellite Data  |  1ページ企画書</w:t>
      </w:r>
    </w:p>
    <w:p>
      <w:pPr>
        <w:spacing w:before="0" w:after="20" w:line="240" w:lineRule="auto"/>
        <w:jc w:val="center"/>
      </w:pPr>
      <w:r>
        <w:rPr>
          <w:rFonts w:ascii="Hiragino Sans" w:hAnsi="Hiragino Sans" w:eastAsia="Hiragino Sans"/>
          <w:b/>
          <w:i w:val="0"/>
          <w:color w:val="0B2545"/>
          <w:sz w:val="34"/>
        </w:rPr>
        <w:t>災害後の「使えるインフラ」残存能力マップ</w:t>
      </w:r>
    </w:p>
    <w:p>
      <w:pPr>
        <w:spacing w:before="0" w:after="100" w:line="240" w:lineRule="auto"/>
        <w:jc w:val="center"/>
      </w:pPr>
      <w:r>
        <w:rPr>
          <w:rFonts w:ascii="Hiragino Sans" w:hAnsi="Hiragino Sans" w:eastAsia="Hiragino Sans"/>
          <w:b w:val="0"/>
          <w:i w:val="0"/>
          <w:color w:val="5B6B7A"/>
          <w:sz w:val="18"/>
        </w:rPr>
        <w:t>被害箇所の列挙から、残っている社会機能の把握へ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テーマ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テーマ2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主利用者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災害対策本部・応援調整部門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衛星の役割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残存状態の広域推定</w:t>
            </w:r>
          </w:p>
        </w:tc>
        <w:tc>
          <w:tcPr>
            <w:tcW w:type="dxa" w:w="2275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4"/>
              </w:rPr>
              <w:t>GRIDの役割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支援シナリオ</w:t>
            </w:r>
          </w:p>
        </w:tc>
      </w:tr>
    </w:tbl>
    <w:p>
      <w:pPr>
        <w:spacing w:after="20"/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88"/>
            <w:vAlign w:val="center"/>
            <w:shd w:fill="EAF3F8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7"/>
              </w:rPr>
              <w:t>提案の核心</w:t>
            </w:r>
          </w:p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7"/>
              </w:rPr>
              <w:t>被災箇所を探すだけでなく、道路・港湾・物流拠点・避難拠点などの「利用可能性」を衛星・地上情報から信頼度付きで更新する。衛星は稼働を断定せず、支援判断の候補を作る。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社会課題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災害初期は被害情報が断片的で、使える拠点や経路が分からない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設備単位の被害情報を重ねても、社会機能の残存状況が見えにくい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支援物資・燃料・要員の投入先を決める材料が不足する</w:t>
            </w:r>
          </w:p>
        </w:tc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衛星だからできること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光学・SAR・夜間光・土地利用変化を統合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浸水・閉塞・周辺変化のない区域を広域抽出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被害情報と残存候補を同じ地図上で更新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サービス像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道路・港湾・拠点ごとの利用可能性と信頼度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追加確認が必要な地点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災害前後の残存機能の変化履歴</w:t>
            </w:r>
          </w:p>
        </w:tc>
        <w:tc>
          <w:tcPr>
            <w:tcW w:type="dxa" w:w="4565"/>
            <w:vAlign w:val="top"/>
            <w:shd w:fill="FFFFFF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65" w:type="dxa"/>
              <w:start w:w="105" w:type="dxa"/>
              <w:bottom w:w="55" w:type="dxa"/>
              <w:end w:w="105" w:type="dxa"/>
            </w:tcMar>
          </w:tcPr>
          <w:p>
            <w:pPr>
              <w:spacing w:before="0" w:after="40" w:line="240" w:lineRule="auto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6"/>
              </w:rPr>
              <w:t>GRIDを使う理由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残存する拠点を結ぶ代替ネットワーク分析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支援物資・燃料・要員の輸送候補比較</w:t>
            </w:r>
          </w:p>
          <w:p>
            <w:pPr>
              <w:pStyle w:val="ListBullet"/>
              <w:spacing w:before="0" w:after="2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5"/>
              </w:rPr>
              <w:t>新情報による支援シナリオ更新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評価軸</w:t>
            </w:r>
          </w:p>
        </w:tc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プロトタイプで示すこと</w:t>
            </w:r>
          </w:p>
        </w:tc>
        <w:tc>
          <w:tcPr>
            <w:tcW w:type="dxa" w:w="3024"/>
            <w:shd w:fill="EAF0F6"/>
            <w:tcBorders>
              <w:top w:val="single" w:sz="5" w:space="0" w:color="C6D2DE"/>
              <w:left w:val="single" w:sz="5" w:space="0" w:color="C6D2DE"/>
              <w:bottom w:val="single" w:sz="5" w:space="0" w:color="C6D2DE"/>
              <w:right w:val="single" w:sz="5" w:space="0" w:color="C6D2DE"/>
              <w:insideH w:val="single" w:sz="5" w:space="0" w:color="C6D2DE"/>
              <w:insideV w:val="single" w:sz="5" w:space="0" w:color="C6D2DE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5"/>
              </w:rPr>
              <w:t>目安となる指標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推定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過去災害の時系列で検証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残存候補の捕捉率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判断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被害マップのみと比較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支援先候補の確定時間</w:t>
            </w:r>
          </w:p>
        </w:tc>
      </w:tr>
      <w:tr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信頼度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地上報告と照合</w:t>
            </w:r>
          </w:p>
        </w:tc>
        <w:tc>
          <w:tcPr>
            <w:tcW w:type="dxa" w:w="3024"/>
            <w:tcBorders>
              <w:top w:val="single" w:sz="5" w:space="0" w:color="D4DCE5"/>
              <w:left w:val="single" w:sz="5" w:space="0" w:color="D4DCE5"/>
              <w:bottom w:val="single" w:sz="5" w:space="0" w:color="D4DCE5"/>
              <w:right w:val="single" w:sz="5" w:space="0" w:color="D4DCE5"/>
              <w:insideH w:val="single" w:sz="5" w:space="0" w:color="D4DCE5"/>
              <w:insideV w:val="single" w:sz="5" w:space="0" w:color="D4DCE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0B2545"/>
                <w:sz w:val="14"/>
              </w:rPr>
              <w:t>誤判定・未確認率</w:t>
            </w:r>
          </w:p>
        </w:tc>
      </w:tr>
    </w:tbl>
    <w:p>
      <w:pPr>
        <w:spacing w:before="80" w:after="40" w:line="240" w:lineRule="auto"/>
      </w:pPr>
      <w:r>
        <w:rPr>
          <w:rFonts w:ascii="Hiragino Sans" w:hAnsi="Hiragino Sans" w:eastAsia="Hiragino Sans"/>
          <w:b/>
          <w:i w:val="0"/>
          <w:color w:val="8A6500"/>
          <w:sz w:val="16"/>
        </w:rPr>
        <w:t xml:space="preserve">最大の反論と回答  </w:t>
      </w:r>
      <w:r>
        <w:rPr>
          <w:rFonts w:ascii="Hiragino Sans" w:hAnsi="Hiragino Sans" w:eastAsia="Hiragino Sans"/>
          <w:b w:val="0"/>
          <w:i w:val="0"/>
          <w:color w:val="0B2545"/>
          <w:sz w:val="16"/>
        </w:rPr>
        <w:t>物理的に残っていても稼働しているとは限らない。出力は「利用可能性」「追加確認要否」「信頼度」とし、通信・電力・人員などの地上情報と組み合わせる。</w:t>
      </w:r>
    </w:p>
    <w:p>
      <w:pPr>
        <w:spacing w:before="40" w:after="0" w:line="240" w:lineRule="auto"/>
      </w:pPr>
      <w:r>
        <w:rPr>
          <w:rFonts w:ascii="Hiragino Sans" w:hAnsi="Hiragino Sans" w:eastAsia="Hiragino Sans"/>
          <w:b/>
          <w:i w:val="0"/>
          <w:color w:val="5B6B7A"/>
          <w:sz w:val="13"/>
        </w:rPr>
        <w:t>出典：</w:t>
      </w:r>
      <w:r>
        <w:rPr>
          <w:rFonts w:ascii="Hiragino Sans" w:hAnsi="Hiragino Sans" w:eastAsia="Hiragino Sans"/>
          <w:b w:val="0"/>
          <w:i w:val="0"/>
          <w:color w:val="5B6B7A"/>
          <w:sz w:val="13"/>
        </w:rPr>
        <w:t>NEDO公募・提供データ、国交省DiMAPS・PLATEAU等、GRIDの物流・エネルギー領域｜図版アイコン：Tabler Icons（MIT）</w:t>
      </w:r>
    </w:p>
    <w:sectPr w:rsidR="00FC693F" w:rsidRPr="0006063C" w:rsidSect="00034616">
      <w:footerReference w:type="default" r:id="rId9"/>
      <w:pgSz w:w="12240" w:h="15840"/>
      <w:pgMar w:top="893" w:right="1123" w:bottom="893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iragino Sans" w:hAnsi="Hiragino Sans" w:eastAsia="Hiragino Sans"/>
        <w:b w:val="0"/>
        <w:i w:val="0"/>
        <w:color w:val="5B6B7A"/>
        <w:sz w:val="13"/>
      </w:rPr>
      <w:t>GRID検討用ドラフト  |  2026年7月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Hiragino Sans" w:hAnsi="Hiragino Sans" w:eastAsia="Hiragino Sans"/>
      <w:color w:val="0B254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9" w:hanging="173"/>
      <w:contextualSpacing/>
    </w:pPr>
    <w:rPr>
      <w:rFonts w:ascii="Hiragino Sans" w:hAnsi="Hiragino Sans" w:eastAsia="Hiragino Sans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