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/>
    <w:p>
      <w:pPr>
        <w:jc w:val="center"/>
      </w:pPr>
      <w:r>
        <w:rPr>
          <w:b/>
          <w:sz w:val="36"/>
        </w:rPr>
        <w:t>Bharat Steel Industries Pvt Ltd</w:t>
      </w:r>
    </w:p>
    <w:p>
      <w:pPr>
        <w:jc w:val="center"/>
      </w:pPr>
      <w:r>
        <w:rPr>
          <w:sz w:val="22"/>
        </w:rPr>
        <w:t>CIN: U27100MH2015PTC265432</w:t>
      </w:r>
      <w:r>
        <w:rPr>
          <w:sz w:val="20"/>
        </w:rPr>
        <w:br/>
        <w:t>Generated: 03-Mar-2026 22:13</w:t>
      </w:r>
      <w:r>
        <w:rPr>
          <w:sz w:val="18"/>
        </w:rPr>
        <w:br/>
        <w:t>Powered by Intelli-Credit AI Engine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Decision: APPROVED</w:t>
        <w:br/>
        <w:t>Credit Score: 100/100 (Threshold: 60)</w:t>
        <w:br/>
        <w:t>Loan Request: Term Loan — ₹ 5.0 Crore @ 11.5% p.a. (3-year tenor)</w:t>
        <w:br/>
        <w:t>Purpose: Capacity expansion — new rolling mill unit</w:t>
      </w:r>
    </w:p>
    <w:p>
      <w:r>
        <w:rPr>
          <w:b/>
          <w:color w:val="28A745"/>
          <w:sz w:val="28"/>
        </w:rPr>
        <w:t xml:space="preserve">  RECOMMENDATION: APPROVED  </w:t>
      </w:r>
    </w:p>
    <w:p>
      <w:pPr>
        <w:pStyle w:val="Heading1"/>
      </w:pPr>
      <w:r>
        <w:t>2. Five Cs of Credit Analysis</w:t>
      </w:r>
    </w:p>
    <w:p>
      <w:pPr>
        <w:pStyle w:val="Heading2"/>
      </w:pPr>
      <w:r>
        <w:t>Character — Trustworthiness &amp; Track Record</w:t>
      </w:r>
    </w:p>
    <w:p>
      <w:r>
        <w:t>Score: 84/100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Litigation Count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Pending Cases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Criminal Cases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News Sentiment Score</w:t>
            </w:r>
          </w:p>
        </w:tc>
        <w:tc>
          <w:tcPr>
            <w:tcW w:type="dxa" w:w="4320"/>
          </w:tcPr>
          <w:p>
            <w:r>
              <w:t>0.41</w:t>
            </w:r>
          </w:p>
        </w:tc>
      </w:tr>
      <w:tr>
        <w:tc>
          <w:tcPr>
            <w:tcW w:type="dxa" w:w="4320"/>
          </w:tcPr>
          <w:p>
            <w:r>
              <w:t>Mca Compliance Score</w:t>
            </w:r>
          </w:p>
        </w:tc>
        <w:tc>
          <w:tcPr>
            <w:tcW w:type="dxa" w:w="4320"/>
          </w:tcPr>
          <w:p>
            <w:r>
              <w:t>88</w:t>
            </w:r>
          </w:p>
        </w:tc>
      </w:tr>
      <w:tr>
        <w:tc>
          <w:tcPr>
            <w:tcW w:type="dxa" w:w="4320"/>
          </w:tcPr>
          <w:p>
            <w:r>
              <w:t>Prior Defaults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Director Disqualifications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Roc Notices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2"/>
      </w:pPr>
      <w:r>
        <w:t>Capacity — Ability to Repay</w:t>
      </w:r>
    </w:p>
    <w:p>
      <w:r>
        <w:t>Score: 75/100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Dscr</w:t>
            </w:r>
          </w:p>
        </w:tc>
        <w:tc>
          <w:tcPr>
            <w:tcW w:type="dxa" w:w="4320"/>
          </w:tcPr>
          <w:p>
            <w:r>
              <w:t>1.32</w:t>
            </w:r>
          </w:p>
        </w:tc>
      </w:tr>
      <w:tr>
        <w:tc>
          <w:tcPr>
            <w:tcW w:type="dxa" w:w="4320"/>
          </w:tcPr>
          <w:p>
            <w:r>
              <w:t>Icr</w:t>
            </w:r>
          </w:p>
        </w:tc>
        <w:tc>
          <w:tcPr>
            <w:tcW w:type="dxa" w:w="4320"/>
          </w:tcPr>
          <w:p>
            <w:r>
              <w:t>2.8</w:t>
            </w:r>
          </w:p>
        </w:tc>
      </w:tr>
      <w:tr>
        <w:tc>
          <w:tcPr>
            <w:tcW w:type="dxa" w:w="4320"/>
          </w:tcPr>
          <w:p>
            <w:r>
              <w:t>Revenue Cr</w:t>
            </w:r>
          </w:p>
        </w:tc>
        <w:tc>
          <w:tcPr>
            <w:tcW w:type="dxa" w:w="4320"/>
          </w:tcPr>
          <w:p>
            <w:r>
              <w:t>28.5</w:t>
            </w:r>
          </w:p>
        </w:tc>
      </w:tr>
      <w:tr>
        <w:tc>
          <w:tcPr>
            <w:tcW w:type="dxa" w:w="4320"/>
          </w:tcPr>
          <w:p>
            <w:r>
              <w:t>Revenue Cagr 3Yr</w:t>
            </w:r>
          </w:p>
        </w:tc>
        <w:tc>
          <w:tcPr>
            <w:tcW w:type="dxa" w:w="4320"/>
          </w:tcPr>
          <w:p>
            <w:r>
              <w:t>19.974744817146384</w:t>
            </w:r>
          </w:p>
        </w:tc>
      </w:tr>
      <w:tr>
        <w:tc>
          <w:tcPr>
            <w:tcW w:type="dxa" w:w="4320"/>
          </w:tcPr>
          <w:p>
            <w:r>
              <w:t>Ebitda Margin Pct</w:t>
            </w:r>
          </w:p>
        </w:tc>
        <w:tc>
          <w:tcPr>
            <w:tcW w:type="dxa" w:w="4320"/>
          </w:tcPr>
          <w:p>
            <w:r>
              <w:t>14.7</w:t>
            </w:r>
          </w:p>
        </w:tc>
      </w:tr>
      <w:tr>
        <w:tc>
          <w:tcPr>
            <w:tcW w:type="dxa" w:w="4320"/>
          </w:tcPr>
          <w:p>
            <w:r>
              <w:t>Pat Cr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Operating Cash Flow Cr</w:t>
            </w:r>
          </w:p>
        </w:tc>
        <w:tc>
          <w:tcPr>
            <w:tcW w:type="dxa" w:w="4320"/>
          </w:tcPr>
          <w:p>
            <w:r>
              <w:t>3.5</w:t>
            </w:r>
          </w:p>
        </w:tc>
      </w:tr>
      <w:tr>
        <w:tc>
          <w:tcPr>
            <w:tcW w:type="dxa" w:w="4320"/>
          </w:tcPr>
          <w:p>
            <w:r>
              <w:t>Current Ratio</w:t>
            </w:r>
          </w:p>
        </w:tc>
        <w:tc>
          <w:tcPr>
            <w:tcW w:type="dxa" w:w="4320"/>
          </w:tcPr>
          <w:p>
            <w:r>
              <w:t>1.45</w:t>
            </w:r>
          </w:p>
        </w:tc>
      </w:tr>
    </w:tbl>
    <w:p>
      <w:pPr>
        <w:pStyle w:val="Heading2"/>
      </w:pPr>
      <w:r>
        <w:t>Capital — Financial Strength</w:t>
      </w:r>
    </w:p>
    <w:p>
      <w:r>
        <w:t>Score: 90/100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De Ratio</w:t>
            </w:r>
          </w:p>
        </w:tc>
        <w:tc>
          <w:tcPr>
            <w:tcW w:type="dxa" w:w="4320"/>
          </w:tcPr>
          <w:p>
            <w:r>
              <w:t>0.69</w:t>
            </w:r>
          </w:p>
        </w:tc>
      </w:tr>
      <w:tr>
        <w:tc>
          <w:tcPr>
            <w:tcW w:type="dxa" w:w="4320"/>
          </w:tcPr>
          <w:p>
            <w:r>
              <w:t>Tangible Net Worth Cr</w:t>
            </w:r>
          </w:p>
        </w:tc>
        <w:tc>
          <w:tcPr>
            <w:tcW w:type="dxa" w:w="4320"/>
          </w:tcPr>
          <w:p>
            <w:r>
              <w:t>11.8</w:t>
            </w:r>
          </w:p>
        </w:tc>
      </w:tr>
      <w:tr>
        <w:tc>
          <w:tcPr>
            <w:tcW w:type="dxa" w:w="4320"/>
          </w:tcPr>
          <w:p>
            <w:r>
              <w:t>Net Worth Cr</w:t>
            </w:r>
          </w:p>
        </w:tc>
        <w:tc>
          <w:tcPr>
            <w:tcW w:type="dxa" w:w="4320"/>
          </w:tcPr>
          <w:p>
            <w:r>
              <w:t>12.3</w:t>
            </w:r>
          </w:p>
        </w:tc>
      </w:tr>
      <w:tr>
        <w:tc>
          <w:tcPr>
            <w:tcW w:type="dxa" w:w="4320"/>
          </w:tcPr>
          <w:p>
            <w:r>
              <w:t>Promoter Equity Pct</w:t>
            </w:r>
          </w:p>
        </w:tc>
        <w:tc>
          <w:tcPr>
            <w:tcW w:type="dxa" w:w="4320"/>
          </w:tcPr>
          <w:p>
            <w:r>
              <w:t>75.0</w:t>
            </w:r>
          </w:p>
        </w:tc>
      </w:tr>
      <w:tr>
        <w:tc>
          <w:tcPr>
            <w:tcW w:type="dxa" w:w="4320"/>
          </w:tcPr>
          <w:p>
            <w:r>
              <w:t>Total Debt Cr</w:t>
            </w:r>
          </w:p>
        </w:tc>
        <w:tc>
          <w:tcPr>
            <w:tcW w:type="dxa" w:w="4320"/>
          </w:tcPr>
          <w:p>
            <w:r>
              <w:t>8.5</w:t>
            </w:r>
          </w:p>
        </w:tc>
      </w:tr>
      <w:tr>
        <w:tc>
          <w:tcPr>
            <w:tcW w:type="dxa" w:w="4320"/>
          </w:tcPr>
          <w:p>
            <w:r>
              <w:t>Total Assets Cr</w:t>
            </w:r>
          </w:p>
        </w:tc>
        <w:tc>
          <w:tcPr>
            <w:tcW w:type="dxa" w:w="4320"/>
          </w:tcPr>
          <w:p>
            <w:r>
              <w:t>25.8</w:t>
            </w:r>
          </w:p>
        </w:tc>
      </w:tr>
    </w:tbl>
    <w:p>
      <w:pPr>
        <w:pStyle w:val="Heading2"/>
      </w:pPr>
      <w:r>
        <w:t>Collateral — Security Coverage</w:t>
      </w:r>
    </w:p>
    <w:p>
      <w:r>
        <w:t>Score: 60/100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Asset Coverage Ratio</w:t>
            </w:r>
          </w:p>
        </w:tc>
        <w:tc>
          <w:tcPr>
            <w:tcW w:type="dxa" w:w="4320"/>
          </w:tcPr>
          <w:p>
            <w:r>
              <w:t>1.64</w:t>
            </w:r>
          </w:p>
        </w:tc>
      </w:tr>
      <w:tr>
        <w:tc>
          <w:tcPr>
            <w:tcW w:type="dxa" w:w="4320"/>
          </w:tcPr>
          <w:p>
            <w:r>
              <w:t>Ltv Pct</w:t>
            </w:r>
          </w:p>
        </w:tc>
        <w:tc>
          <w:tcPr>
            <w:tcW w:type="dxa" w:w="4320"/>
          </w:tcPr>
          <w:p>
            <w:r>
              <w:t>61.0</w:t>
            </w:r>
          </w:p>
        </w:tc>
      </w:tr>
      <w:tr>
        <w:tc>
          <w:tcPr>
            <w:tcW w:type="dxa" w:w="4320"/>
          </w:tcPr>
          <w:p>
            <w:r>
              <w:t>Security Type</w:t>
            </w:r>
          </w:p>
        </w:tc>
        <w:tc>
          <w:tcPr>
            <w:tcW w:type="dxa" w:w="4320"/>
          </w:tcPr>
          <w:p>
            <w:r>
              <w:t>immovable</w:t>
            </w:r>
          </w:p>
        </w:tc>
      </w:tr>
      <w:tr>
        <w:tc>
          <w:tcPr>
            <w:tcW w:type="dxa" w:w="4320"/>
          </w:tcPr>
          <w:p>
            <w:r>
              <w:t>Collateral Value Cr</w:t>
            </w:r>
          </w:p>
        </w:tc>
        <w:tc>
          <w:tcPr>
            <w:tcW w:type="dxa" w:w="4320"/>
          </w:tcPr>
          <w:p>
            <w:r>
              <w:t>8.2</w:t>
            </w:r>
          </w:p>
        </w:tc>
      </w:tr>
      <w:tr>
        <w:tc>
          <w:tcPr>
            <w:tcW w:type="dxa" w:w="4320"/>
          </w:tcPr>
          <w:p>
            <w:r>
              <w:t>Encumbrance Flag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Conditions — External Environment</w:t>
      </w:r>
    </w:p>
    <w:p>
      <w:r>
        <w:t>Score: 68/100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Industry Outlook Score</w:t>
            </w:r>
          </w:p>
        </w:tc>
        <w:tc>
          <w:tcPr>
            <w:tcW w:type="dxa" w:w="4320"/>
          </w:tcPr>
          <w:p>
            <w:r>
              <w:t>72</w:t>
            </w:r>
          </w:p>
        </w:tc>
      </w:tr>
      <w:tr>
        <w:tc>
          <w:tcPr>
            <w:tcW w:type="dxa" w:w="4320"/>
          </w:tcPr>
          <w:p>
            <w:r>
              <w:t>Regulatory Risk Score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Gst Compliance Score</w:t>
            </w:r>
          </w:p>
        </w:tc>
        <w:tc>
          <w:tcPr>
            <w:tcW w:type="dxa" w:w="4320"/>
          </w:tcPr>
          <w:p>
            <w:r>
              <w:t>94.4</w:t>
            </w:r>
          </w:p>
        </w:tc>
      </w:tr>
      <w:tr>
        <w:tc>
          <w:tcPr>
            <w:tcW w:type="dxa" w:w="4320"/>
          </w:tcPr>
          <w:p>
            <w:r>
              <w:t>Qualitative Risk Adjustment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Qualitative Notes Count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>
      <w:pPr>
        <w:pStyle w:val="Heading1"/>
      </w:pPr>
      <w:r>
        <w:t>3. Financial Highlights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FY 2022</w:t>
            </w:r>
          </w:p>
        </w:tc>
        <w:tc>
          <w:tcPr>
            <w:tcW w:type="dxa" w:w="2160"/>
          </w:tcPr>
          <w:p>
            <w:r>
              <w:t>FY 2023</w:t>
            </w:r>
          </w:p>
        </w:tc>
        <w:tc>
          <w:tcPr>
            <w:tcW w:type="dxa" w:w="2160"/>
          </w:tcPr>
          <w:p>
            <w:r>
              <w:t>FY 2024</w:t>
            </w:r>
          </w:p>
        </w:tc>
      </w:tr>
      <w:tr>
        <w:tc>
          <w:tcPr>
            <w:tcW w:type="dxa" w:w="2160"/>
          </w:tcPr>
          <w:p>
            <w:r>
              <w:t>Revenue (₹ Cr)</w:t>
            </w:r>
          </w:p>
        </w:tc>
        <w:tc>
          <w:tcPr>
            <w:tcW w:type="dxa" w:w="2160"/>
          </w:tcPr>
          <w:p>
            <w:r>
              <w:t>19.80</w:t>
            </w:r>
          </w:p>
        </w:tc>
        <w:tc>
          <w:tcPr>
            <w:tcW w:type="dxa" w:w="2160"/>
          </w:tcPr>
          <w:p>
            <w:r>
              <w:t>24.20</w:t>
            </w:r>
          </w:p>
        </w:tc>
        <w:tc>
          <w:tcPr>
            <w:tcW w:type="dxa" w:w="2160"/>
          </w:tcPr>
          <w:p>
            <w:r>
              <w:t>28.50</w:t>
            </w:r>
          </w:p>
        </w:tc>
      </w:tr>
      <w:tr>
        <w:tc>
          <w:tcPr>
            <w:tcW w:type="dxa" w:w="2160"/>
          </w:tcPr>
          <w:p>
            <w:r>
              <w:t>Ebitda (₹ Cr)</w:t>
            </w:r>
          </w:p>
        </w:tc>
        <w:tc>
          <w:tcPr>
            <w:tcW w:type="dxa" w:w="2160"/>
          </w:tcPr>
          <w:p>
            <w:r>
              <w:t>2.60</w:t>
            </w:r>
          </w:p>
        </w:tc>
        <w:tc>
          <w:tcPr>
            <w:tcW w:type="dxa" w:w="2160"/>
          </w:tcPr>
          <w:p>
            <w:r>
              <w:t>3.50</w:t>
            </w:r>
          </w:p>
        </w:tc>
        <w:tc>
          <w:tcPr>
            <w:tcW w:type="dxa" w:w="2160"/>
          </w:tcPr>
          <w:p>
            <w:r>
              <w:t>4.20</w:t>
            </w:r>
          </w:p>
        </w:tc>
      </w:tr>
      <w:tr>
        <w:tc>
          <w:tcPr>
            <w:tcW w:type="dxa" w:w="2160"/>
          </w:tcPr>
          <w:p>
            <w:r>
              <w:t>Pat (₹ Cr)</w:t>
            </w:r>
          </w:p>
        </w:tc>
        <w:tc>
          <w:tcPr>
            <w:tcW w:type="dxa" w:w="2160"/>
          </w:tcPr>
          <w:p>
            <w:r>
              <w:t>0.90</w:t>
            </w:r>
          </w:p>
        </w:tc>
        <w:tc>
          <w:tcPr>
            <w:tcW w:type="dxa" w:w="2160"/>
          </w:tcPr>
          <w:p>
            <w:r>
              <w:t>1.60</w:t>
            </w:r>
          </w:p>
        </w:tc>
        <w:tc>
          <w:tcPr>
            <w:tcW w:type="dxa" w:w="2160"/>
          </w:tcPr>
          <w:p>
            <w:r>
              <w:t>2.10</w:t>
            </w:r>
          </w:p>
        </w:tc>
      </w:tr>
      <w:tr>
        <w:tc>
          <w:tcPr>
            <w:tcW w:type="dxa" w:w="2160"/>
          </w:tcPr>
          <w:p>
            <w:r>
              <w:t>Total Debt (₹ Cr)</w:t>
            </w:r>
          </w:p>
        </w:tc>
        <w:tc>
          <w:tcPr>
            <w:tcW w:type="dxa" w:w="2160"/>
          </w:tcPr>
          <w:p>
            <w:r>
              <w:t>10.10</w:t>
            </w:r>
          </w:p>
        </w:tc>
        <w:tc>
          <w:tcPr>
            <w:tcW w:type="dxa" w:w="2160"/>
          </w:tcPr>
          <w:p>
            <w:r>
              <w:t>9.20</w:t>
            </w:r>
          </w:p>
        </w:tc>
        <w:tc>
          <w:tcPr>
            <w:tcW w:type="dxa" w:w="2160"/>
          </w:tcPr>
          <w:p>
            <w:r>
              <w:t>8.50</w:t>
            </w:r>
          </w:p>
        </w:tc>
      </w:tr>
      <w:tr>
        <w:tc>
          <w:tcPr>
            <w:tcW w:type="dxa" w:w="2160"/>
          </w:tcPr>
          <w:p>
            <w:r>
              <w:t>Net Worth (₹ Cr)</w:t>
            </w:r>
          </w:p>
        </w:tc>
        <w:tc>
          <w:tcPr>
            <w:tcW w:type="dxa" w:w="2160"/>
          </w:tcPr>
          <w:p>
            <w:r>
              <w:t>8.60</w:t>
            </w:r>
          </w:p>
        </w:tc>
        <w:tc>
          <w:tcPr>
            <w:tcW w:type="dxa" w:w="2160"/>
          </w:tcPr>
          <w:p>
            <w:r>
              <w:t>10.20</w:t>
            </w:r>
          </w:p>
        </w:tc>
        <w:tc>
          <w:tcPr>
            <w:tcW w:type="dxa" w:w="2160"/>
          </w:tcPr>
          <w:p>
            <w:r>
              <w:t>12.30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1.05</w:t>
            </w:r>
          </w:p>
        </w:tc>
        <w:tc>
          <w:tcPr>
            <w:tcW w:type="dxa" w:w="2160"/>
          </w:tcPr>
          <w:p>
            <w:r>
              <w:t>1.18</w:t>
            </w:r>
          </w:p>
        </w:tc>
        <w:tc>
          <w:tcPr>
            <w:tcW w:type="dxa" w:w="2160"/>
          </w:tcPr>
          <w:p>
            <w:r>
              <w:t>1.32</w:t>
            </w:r>
          </w:p>
        </w:tc>
      </w:tr>
      <w:tr>
        <w:tc>
          <w:tcPr>
            <w:tcW w:type="dxa" w:w="2160"/>
          </w:tcPr>
          <w:p>
            <w:r>
              <w:t>Icr</w:t>
            </w:r>
          </w:p>
        </w:tc>
        <w:tc>
          <w:tcPr>
            <w:tcW w:type="dxa" w:w="2160"/>
          </w:tcPr>
          <w:p>
            <w:r>
              <w:t>1.90</w:t>
            </w:r>
          </w:p>
        </w:tc>
        <w:tc>
          <w:tcPr>
            <w:tcW w:type="dxa" w:w="2160"/>
          </w:tcPr>
          <w:p>
            <w:r>
              <w:t>2.40</w:t>
            </w:r>
          </w:p>
        </w:tc>
        <w:tc>
          <w:tcPr>
            <w:tcW w:type="dxa" w:w="2160"/>
          </w:tcPr>
          <w:p>
            <w:r>
              <w:t>2.80</w:t>
            </w:r>
          </w:p>
        </w:tc>
      </w:tr>
      <w:tr>
        <w:tc>
          <w:tcPr>
            <w:tcW w:type="dxa" w:w="2160"/>
          </w:tcPr>
          <w:p>
            <w:r>
              <w:t>De Ratio</w:t>
            </w:r>
          </w:p>
        </w:tc>
        <w:tc>
          <w:tcPr>
            <w:tcW w:type="dxa" w:w="2160"/>
          </w:tcPr>
          <w:p>
            <w:r>
              <w:t>1.17</w:t>
            </w:r>
          </w:p>
        </w:tc>
        <w:tc>
          <w:tcPr>
            <w:tcW w:type="dxa" w:w="2160"/>
          </w:tcPr>
          <w:p>
            <w:r>
              <w:t>0.90</w:t>
            </w:r>
          </w:p>
        </w:tc>
        <w:tc>
          <w:tcPr>
            <w:tcW w:type="dxa" w:w="2160"/>
          </w:tcPr>
          <w:p>
            <w:r>
              <w:t>0.69</w:t>
            </w:r>
          </w:p>
        </w:tc>
      </w:tr>
      <w:tr>
        <w:tc>
          <w:tcPr>
            <w:tcW w:type="dxa" w:w="2160"/>
          </w:tcPr>
          <w:p>
            <w:r>
              <w:t>Current Ratio</w:t>
            </w:r>
          </w:p>
        </w:tc>
        <w:tc>
          <w:tcPr>
            <w:tcW w:type="dxa" w:w="2160"/>
          </w:tcPr>
          <w:p>
            <w:r>
              <w:t>1.22</w:t>
            </w:r>
          </w:p>
        </w:tc>
        <w:tc>
          <w:tcPr>
            <w:tcW w:type="dxa" w:w="2160"/>
          </w:tcPr>
          <w:p>
            <w:r>
              <w:t>1.35</w:t>
            </w:r>
          </w:p>
        </w:tc>
        <w:tc>
          <w:tcPr>
            <w:tcW w:type="dxa" w:w="2160"/>
          </w:tcPr>
          <w:p>
            <w:r>
              <w:t>1.45</w:t>
            </w:r>
          </w:p>
        </w:tc>
      </w:tr>
    </w:tbl>
    <w:p>
      <w:pPr>
        <w:pStyle w:val="Heading1"/>
      </w:pPr>
      <w:r>
        <w:t>4. Scoring Model — Feature Contributions</w:t>
      </w:r>
    </w:p>
    <w:p>
      <w:r>
        <w:t>**Decision: APPROVED** — Credit Score: 100/100 (Threshold: 60)</w:t>
        <w:br/>
        <w:br/>
        <w:t>**Model:** XGBoost + SHAP TreeExplainer</w:t>
        <w:br/>
        <w:br/>
        <w:t>**Strengths (positive contributors):**</w:t>
        <w:br/>
        <w:t xml:space="preserve">  • Prior Defaults: **+19.7 pts** — favourable signal</w:t>
        <w:br/>
        <w:t xml:space="preserve">  • Pending Cases: **+16.1 pts** — favourable signal</w:t>
        <w:br/>
        <w:t xml:space="preserve">  • D/E Ratio: **+10.8 pts** — favourable signal</w:t>
        <w:br/>
        <w:t xml:space="preserve">  • Criminal Cases: **+10.1 pts** — favourable signal</w:t>
        <w:br/>
        <w:t xml:space="preserve">  • Litigation Count: **+9.8 pts** — favourable signal</w:t>
        <w:br/>
        <w:t xml:space="preserve">  • GST Compliance: **+8.3 pts** — favourable signal</w:t>
        <w:br/>
        <w:br/>
        <w:t>**Risk Factors (negative contributors):**</w:t>
        <w:br/>
        <w:t xml:space="preserve">  • Tangible Net Worth: **-0.1 pts** — needs attention</w:t>
        <w:br/>
        <w:t xml:space="preserve">  • Encumbrance Flag: **-0.7 pts** — needs attention</w:t>
        <w:br/>
        <w:t xml:space="preserve">  • ICR: **-0.9 pts** — needs attention</w:t>
        <w:br/>
        <w:t xml:space="preserve">  • Current Ratio: **-1.8 pts** — needs attention</w:t>
        <w:br/>
        <w:br/>
        <w:t>**Net Assessment:** Score of 100 is ABOVE ✅ the approval threshold of 60.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830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waterf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3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Research Findings</w:t>
      </w:r>
    </w:p>
    <w:p>
      <w:pPr>
        <w:pStyle w:val="Heading2"/>
      </w:pPr>
      <w:r>
        <w:t>5.1 News &amp; Sentiment Analysis</w:t>
      </w:r>
    </w:p>
    <w:p>
      <w:r>
        <w:t>Overall news sentiment is mildly positive. Company recently won a Rs 10 Cr order from L&amp;T. Steel sector faces headwinds from Chinese imports but domestic infrastructure demand remains strong.</w:t>
      </w:r>
    </w:p>
    <w:p>
      <w:pPr>
        <w:pStyle w:val="ListBullet"/>
      </w:pPr>
      <w:r>
        <w:t>• [POSITIVE] Bharat Steel wins Rs 10 Cr order from L&amp;T for construction steel — Economic Times</w:t>
      </w:r>
    </w:p>
    <w:p>
      <w:pPr>
        <w:pStyle w:val="ListBullet"/>
      </w:pPr>
      <w:r>
        <w:t>• [POSITIVE] Pune steel makers eye capacity expansion amid infrastructure boom — Business Standard</w:t>
      </w:r>
    </w:p>
    <w:p>
      <w:pPr>
        <w:pStyle w:val="ListBullet"/>
      </w:pPr>
      <w:r>
        <w:t>• [NEGATIVE] Steel prices soften in Q3 as Chinese imports rise — LiveMint</w:t>
      </w:r>
    </w:p>
    <w:p>
      <w:pPr>
        <w:pStyle w:val="ListBullet"/>
      </w:pPr>
      <w:r>
        <w:t>• [POSITIVE] MIDC Pune industrial zone sees 15% growth in manufacturing output — Times of India</w:t>
      </w:r>
    </w:p>
    <w:p>
      <w:pPr>
        <w:pStyle w:val="Heading2"/>
      </w:pPr>
      <w:r>
        <w:t>5.2 MCA21 Compliance</w:t>
      </w:r>
    </w:p>
    <w:p>
      <w:r>
        <w:t>Company has clean MCA records. 1 open charge in favor of SBI (working capital). No ROC notices or director disqualifications. Annual returns filed on time.</w:t>
      </w:r>
    </w:p>
    <w:p>
      <w:pPr>
        <w:pStyle w:val="Heading2"/>
      </w:pPr>
      <w:r>
        <w:t>5.3 Litigation Analysis</w:t>
      </w:r>
    </w:p>
    <w:p>
      <w:r>
        <w:t>Total 3 cases found: 2 disposed, 1 pending. No criminal cases. 1 pending consumer complaint (Rs 0.12 Cr). All civil cases resolved. Low litigation risk.</w:t>
      </w:r>
    </w:p>
    <w:p>
      <w:pPr>
        <w:pStyle w:val="Heading2"/>
      </w:pPr>
      <w:r>
        <w:t>5.4 Industry &amp; Regulatory Analysis</w:t>
      </w:r>
    </w:p>
    <w:p>
      <w:r>
        <w:t>Steel manufacturing sector outlook is positive, driven by government infrastructure push (PM Gati Shakti). Anti-dumping duties protect domestic players. Rising coking coal prices and mandatory BIS certification are moderate headwinds. RBI's revised MSME lending guidelines are favorable for credit access.</w:t>
      </w:r>
    </w:p>
    <w:p>
      <w:pPr>
        <w:pStyle w:val="Heading1"/>
      </w:pPr>
      <w:r>
        <w:t>6. GST Compliance Analysis</w:t>
      </w:r>
    </w:p>
    <w:p>
      <w:r>
        <w:t>GSTIN: 27AABCB1234F1Z5</w:t>
        <w:br/>
        <w:t>GSTR-3B Turnover: ₹ 27.8 Cr</w:t>
        <w:br/>
        <w:t>Bank Credits: ₹ 29.2 Cr</w:t>
        <w:br/>
        <w:t>Turnover Variance: 5.0%</w:t>
        <w:br/>
        <w:t>Compliance Score: 94/100</w:t>
        <w:br/>
        <w:t>Risk Level: LOW</w:t>
      </w:r>
    </w:p>
    <w:p>
      <w:pPr>
        <w:pStyle w:val="ListBullet"/>
      </w:pPr>
      <w:r>
        <w:t>⚠ GST data appears consistent with bank records</w:t>
      </w:r>
    </w:p>
    <w:p>
      <w:pPr>
        <w:pStyle w:val="Heading1"/>
      </w:pPr>
      <w:r>
        <w:t>7. Credit Officer's Qualitative Notes</w:t>
      </w:r>
    </w:p>
    <w:p>
      <w:pPr>
        <w:pStyle w:val="ListBullet"/>
      </w:pPr>
      <w:r>
        <w:t>• Factory operating at 65% capacity — room for growth with new rolling mill</w:t>
      </w:r>
    </w:p>
    <w:p>
      <w:pPr>
        <w:pStyle w:val="ListBullet"/>
      </w:pPr>
      <w:r>
        <w:t>• Second-generation promoter, father established the business in 1990</w:t>
      </w:r>
    </w:p>
    <w:p>
      <w:pPr>
        <w:pStyle w:val="ListBullet"/>
      </w:pPr>
      <w:r>
        <w:t>• Long-standing relationship with SBI (10+ years)</w:t>
      </w:r>
    </w:p>
    <w:p>
      <w:pPr>
        <w:pStyle w:val="ListBullet"/>
      </w:pPr>
      <w:r>
        <w:t>• Strong dealer network across Maharashtra and Gujarat</w:t>
      </w:r>
    </w:p>
    <w:p>
      <w:pPr>
        <w:pStyle w:val="Heading1"/>
      </w:pPr>
      <w:r>
        <w:t>8. Decision Audit Trail</w:t>
      </w:r>
    </w:p>
    <w:p>
      <w:r>
        <w:t>The following data sources were consulted during this credit appraisal: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Risk Score</w:t>
            </w:r>
          </w:p>
        </w:tc>
        <w:tc>
          <w:tcPr>
            <w:tcW w:type="dxa" w:w="2160"/>
          </w:tcPr>
          <w:p>
            <w:r>
              <w:t>Summary</w:t>
            </w:r>
          </w:p>
        </w:tc>
      </w:tr>
      <w:tr>
        <w:tc>
          <w:tcPr>
            <w:tcW w:type="dxa" w:w="2160"/>
          </w:tcPr>
          <w:p>
            <w:r>
              <w:t>News &amp; Sentiment</w:t>
            </w:r>
          </w:p>
        </w:tc>
        <w:tc>
          <w:tcPr>
            <w:tcW w:type="dxa" w:w="2160"/>
          </w:tcPr>
          <w:p>
            <w:r>
              <w:t>demo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Overall news sentiment is mildly positive. Company recently won a Rs 10 Cr order from L&amp;T. Steel sec</w:t>
            </w:r>
          </w:p>
        </w:tc>
      </w:tr>
      <w:tr>
        <w:tc>
          <w:tcPr>
            <w:tcW w:type="dxa" w:w="2160"/>
          </w:tcPr>
          <w:p>
            <w:r>
              <w:t>MCA21 Filings</w:t>
            </w:r>
          </w:p>
        </w:tc>
        <w:tc>
          <w:tcPr>
            <w:tcW w:type="dxa" w:w="2160"/>
          </w:tcPr>
          <w:p>
            <w:r>
              <w:t>demo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Company has clean MCA records. 1 open charge in favor of SBI (working capital). No ROC notices or di</w:t>
            </w:r>
          </w:p>
        </w:tc>
      </w:tr>
      <w:tr>
        <w:tc>
          <w:tcPr>
            <w:tcW w:type="dxa" w:w="2160"/>
          </w:tcPr>
          <w:p>
            <w:r>
              <w:t>Litigation / NJDG</w:t>
            </w:r>
          </w:p>
        </w:tc>
        <w:tc>
          <w:tcPr>
            <w:tcW w:type="dxa" w:w="2160"/>
          </w:tcPr>
          <w:p>
            <w:r>
              <w:t>demo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Total 3 cases found: 2 disposed, 1 pending. No criminal cases. 1 pending consumer complaint (Rs 0.12</w:t>
            </w:r>
          </w:p>
        </w:tc>
      </w:tr>
      <w:tr>
        <w:tc>
          <w:tcPr>
            <w:tcW w:type="dxa" w:w="2160"/>
          </w:tcPr>
          <w:p>
            <w:r>
              <w:t>Sector Analysis</w:t>
            </w:r>
          </w:p>
        </w:tc>
        <w:tc>
          <w:tcPr>
            <w:tcW w:type="dxa" w:w="2160"/>
          </w:tcPr>
          <w:p>
            <w:r>
              <w:t>demo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Steel manufacturing sector outlook is positive, driven by government infrastructure push (PM Gati Sh</w:t>
            </w:r>
          </w:p>
        </w:tc>
      </w:tr>
    </w:tbl>
    <w:p/>
    <w:p>
      <w:pPr>
        <w:jc w:val="center"/>
      </w:pPr>
      <w:r>
        <w:rPr>
          <w:i/>
          <w:color w:val="888888"/>
          <w:sz w:val="18"/>
        </w:rPr>
        <w:t>— End of Credit Appraisal Memorandum —</w:t>
      </w:r>
      <w:r>
        <w:rPr>
          <w:color w:val="AAAAAA"/>
          <w:sz w:val="16"/>
        </w:rPr>
        <w:br/>
        <w:t>Generated by Intelli-Credit AI Engine | Confidential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