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200"/>
        <w:jc w:val="center"/>
      </w:pPr>
      <w:r>
        <w:rPr>
          <w:rFonts w:ascii="Arial" w:cs="Arial" w:eastAsia="Arial" w:hAnsi="Arial"/>
          <w:b/>
          <w:bCs/>
          <w:color w:val="CC0000"/>
          <w:sz w:val="20"/>
          <w:szCs w:val="20"/>
        </w:rPr>
        <w:t xml:space="preserve">CONFIDENTIAL</w:t>
      </w:r>
    </w:p>
    <w:p>
      <w:pPr>
        <w:spacing w:after="120"/>
        <w:jc w:val="center"/>
      </w:pPr>
      <w:r>
        <w:rPr>
          <w:rFonts w:ascii="Arial" w:cs="Arial" w:eastAsia="Arial" w:hAnsi="Arial"/>
          <w:b/>
          <w:bCs/>
          <w:color w:val="1F3864"/>
          <w:sz w:val="48"/>
          <w:szCs w:val="48"/>
        </w:rPr>
        <w:t xml:space="preserve">PATENT &amp; TRADEMARK PORTFOLIO</w:t>
      </w:r>
    </w:p>
    <w:p>
      <w:pPr>
        <w:spacing w:after="120"/>
        <w:jc w:val="center"/>
      </w:pPr>
      <w:r>
        <w:rPr>
          <w:rFonts w:ascii="Arial" w:cs="Arial" w:eastAsia="Arial" w:hAnsi="Arial"/>
          <w:b/>
          <w:bCs/>
          <w:color w:val="2E75B6"/>
          <w:sz w:val="36"/>
          <w:szCs w:val="36"/>
        </w:rPr>
        <w:t xml:space="preserve">ANALYSIS &amp; STATUS REVIEW</w:t>
      </w:r>
    </w:p>
    <w:p>
      <w:pPr>
        <w:pBdr>
          <w:top w:val="single" w:color="1F3864" w:sz="6" w:space="12"/>
        </w:pBdr>
        <w:spacing w:before="200"/>
        <w:jc w:val="center"/>
      </w:pPr>
    </w:p>
    <w:p>
      <w:pPr>
        <w:spacing w:before="200" w:after="200"/>
      </w:pPr>
    </w:p>
    <w:p>
      <w:pPr>
        <w:spacing w:after="80"/>
        <w:jc w:val="center"/>
      </w:pPr>
      <w:r>
        <w:rPr>
          <w:rFonts w:ascii="Arial" w:cs="Arial" w:eastAsia="Arial" w:hAnsi="Arial"/>
          <w:color w:val="404040"/>
          <w:sz w:val="24"/>
          <w:szCs w:val="24"/>
        </w:rPr>
        <w:t xml:space="preserve">Controlled Dynamics Inc. (CDI) — Matter 3582</w:t>
      </w:r>
    </w:p>
    <w:p>
      <w:pPr>
        <w:spacing w:after="80"/>
        <w:jc w:val="center"/>
      </w:pPr>
      <w:r>
        <w:rPr>
          <w:rFonts w:ascii="Arial" w:cs="Arial" w:eastAsia="Arial" w:hAnsi="Arial"/>
          <w:color w:val="404040"/>
          <w:sz w:val="24"/>
          <w:szCs w:val="24"/>
        </w:rPr>
        <w:t xml:space="preserve">Anglelock Structural Framing — Matter 599</w:t>
      </w:r>
    </w:p>
    <w:p>
      <w:pPr>
        <w:spacing w:before="600" w:after="600"/>
      </w:pPr>
    </w:p>
    <w:p>
      <w:pPr>
        <w:spacing w:after="80"/>
        <w:jc w:val="center"/>
      </w:pPr>
      <w:r>
        <w:rPr>
          <w:rFonts w:ascii="Arial" w:cs="Arial" w:eastAsia="Arial" w:hAnsi="Arial"/>
          <w:color w:val="666666"/>
          <w:sz w:val="22"/>
          <w:szCs w:val="22"/>
        </w:rPr>
        <w:t xml:space="preserve">Prepared: February 16, 2026</w:t>
      </w:r>
    </w:p>
    <w:p>
      <w:pPr>
        <w:spacing w:after="80"/>
        <w:jc w:val="center"/>
      </w:pPr>
      <w:r>
        <w:rPr>
          <w:rFonts w:ascii="Arial" w:cs="Arial" w:eastAsia="Arial" w:hAnsi="Arial"/>
          <w:i/>
          <w:iCs/>
          <w:color w:val="999999"/>
          <w:sz w:val="20"/>
          <w:szCs w:val="20"/>
        </w:rPr>
        <w:t xml:space="preserve">Patent Portfolio Review — Privileged &amp; 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EXECUTIVE SUMMARY</w:t>
      </w:r>
    </w:p>
    <w:p>
      <w:pPr>
        <w:spacing w:after="200" w:before="0" w:line="276"/>
      </w:pPr>
      <w:r>
        <w:rPr>
          <w:rFonts w:ascii="Arial" w:cs="Arial" w:eastAsia="Arial" w:hAnsi="Arial"/>
          <w:b w:val="false"/>
          <w:bCs w:val="false"/>
          <w:i w:val="false"/>
          <w:iCs w:val="false"/>
          <w:color w:val="333333"/>
          <w:sz w:val="22"/>
          <w:szCs w:val="22"/>
        </w:rPr>
        <w:t xml:space="preserve">This memorandum presents a comprehensive patent and trademark portfolio analysis covering 325 total filings across two related matter portfolios: Matter 599 (Anglelock Structural Framing Systems, 205 filings) and Matter 3582 (Controlled Dynamics Inc. / CDI Die-Cutting &amp; Blanking Technology, 120 filings). The portfolio spans over three decades of continuous innovation from 1994 through January 2026, with active prosecution and new filings ongoing globally.</w:t>
      </w:r>
    </w:p>
    <w:p>
      <w:pPr>
        <w:pStyle w:val="Heading2"/>
      </w:pPr>
      <w:r>
        <w:rPr>
          <w:rFonts w:ascii="Arial" w:cs="Arial" w:eastAsia="Arial" w:hAnsi="Arial"/>
        </w:rPr>
        <w:t xml:space="preserve">Portfolio Summary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46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Count</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Total Filings (Both Portfolios)</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325</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Currently Enforceable Patents (Issued/Granted)</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119</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Pending Applications (Under Examination)</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21</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Registered Trademarks</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25</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Expired Patents</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76</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Abandoned/Halted Filings</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65</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PCT Applications (Completed)</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19</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Countries with Active Protection</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15+</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New Filings Since Jan 2023</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31</w:t>
            </w:r>
          </w:p>
        </w:tc>
      </w:tr>
    </w:tbl>
    <w:p>
      <w:pPr>
        <w:spacing w:before="200" w:after="200"/>
      </w:pPr>
    </w:p>
    <w:p>
      <w:pPr>
        <w:pStyle w:val="Heading2"/>
      </w:pPr>
      <w:r>
        <w:rPr>
          <w:rFonts w:ascii="Arial" w:cs="Arial" w:eastAsia="Arial" w:hAnsi="Arial"/>
        </w:rPr>
        <w:t xml:space="preserve">Portfolio Health Assessment</w:t>
      </w:r>
    </w:p>
    <w:p>
      <w:pPr>
        <w:spacing w:after="200" w:before="0" w:line="276"/>
      </w:pPr>
      <w:r>
        <w:rPr>
          <w:rFonts w:ascii="Arial" w:cs="Arial" w:eastAsia="Arial" w:hAnsi="Arial"/>
          <w:b/>
          <w:bCs/>
          <w:color w:val="1F3864"/>
          <w:sz w:val="22"/>
          <w:szCs w:val="22"/>
        </w:rPr>
        <w:t xml:space="preserve">Overall Assessment: </w:t>
      </w:r>
      <w:r>
        <w:rPr>
          <w:rFonts w:ascii="Arial" w:cs="Arial" w:eastAsia="Arial" w:hAnsi="Arial"/>
          <w:color w:val="333333"/>
          <w:sz w:val="22"/>
          <w:szCs w:val="22"/>
        </w:rPr>
        <w:t xml:space="preserve">The combined portfolio represents a substantial and well-maintained body of intellectual property. With 119 currently enforceable patents, 21 pending applications, and 25 registered trademarks spanning 15+ countries, this portfolio presents significant defensive and offensive value in the structural aluminum framing and die-cutting/blanking tool industries.</w:t>
      </w:r>
    </w:p>
    <w:p>
      <w:pPr>
        <w:spacing w:after="200" w:before="0" w:line="276"/>
      </w:pPr>
      <w:r>
        <w:rPr>
          <w:rFonts w:ascii="Arial" w:cs="Arial" w:eastAsia="Arial" w:hAnsi="Arial"/>
          <w:b/>
          <w:bCs/>
          <w:color w:val="1F3864"/>
          <w:sz w:val="22"/>
          <w:szCs w:val="22"/>
        </w:rPr>
        <w:t xml:space="preserve">Active Prosecution: </w:t>
      </w:r>
      <w:r>
        <w:rPr>
          <w:rFonts w:ascii="Arial" w:cs="Arial" w:eastAsia="Arial" w:hAnsi="Arial"/>
          <w:color w:val="333333"/>
          <w:sz w:val="22"/>
          <w:szCs w:val="22"/>
        </w:rPr>
        <w:t xml:space="preserve">The portfolio is far from dormant. 31 new filings since January 2023 demonstrate an aggressive and forward-looking IP strategy, with particular emphasis on next-generation framing components (T-Slot Adaptor Nuts, Cross Brace Assemblies, Diagonal Web Assemblies, Guide Rod Support Assemblies) and advanced presser technologies (Spot Presser Assembly, Magnetic Biasing). The most recent filing (599.320 — Structural Framing Component) was submitted January 30, 2026, indicating continuous innovation.</w:t>
      </w:r>
    </w:p>
    <w:p>
      <w:pPr>
        <w:spacing w:after="200" w:before="0" w:line="276"/>
      </w:pPr>
      <w:r>
        <w:rPr>
          <w:rFonts w:ascii="Arial" w:cs="Arial" w:eastAsia="Arial" w:hAnsi="Arial"/>
          <w:b/>
          <w:bCs/>
          <w:color w:val="1F3864"/>
          <w:sz w:val="22"/>
          <w:szCs w:val="22"/>
        </w:rPr>
        <w:t xml:space="preserve">Global Coverage: </w:t>
      </w:r>
      <w:r>
        <w:rPr>
          <w:rFonts w:ascii="Arial" w:cs="Arial" w:eastAsia="Arial" w:hAnsi="Arial"/>
          <w:color w:val="333333"/>
          <w:sz w:val="22"/>
          <w:szCs w:val="22"/>
        </w:rPr>
        <w:t xml:space="preserve">Active patent protection extends across the United States (40 patents), United Kingdom (13), Japan (9), EPO/Germany (8 each), France (8), Canada (6), China (5), EUIPO (5), India (4), Italy (4), Korea (4), Hong Kong (3), Sweden (1), and HAGUE (1). This geographic breadth covers all major industrial manufacturing markets worldwide.</w:t>
      </w:r>
    </w:p>
    <w:p>
      <w:pPr>
        <w:spacing w:after="200" w:before="0" w:line="276"/>
      </w:pPr>
      <w:r>
        <w:rPr>
          <w:rFonts w:ascii="Arial" w:cs="Arial" w:eastAsia="Arial" w:hAnsi="Arial"/>
          <w:b/>
          <w:bCs/>
          <w:color w:val="1F3864"/>
          <w:sz w:val="22"/>
          <w:szCs w:val="22"/>
        </w:rPr>
        <w:t xml:space="preserve">Maintenance Concern: </w:t>
      </w:r>
      <w:r>
        <w:rPr>
          <w:rFonts w:ascii="Arial" w:cs="Arial" w:eastAsia="Arial" w:hAnsi="Arial"/>
          <w:color w:val="333333"/>
          <w:sz w:val="22"/>
          <w:szCs w:val="22"/>
        </w:rPr>
        <w:t xml:space="preserve">76 patents have expired, primarily in the legacy die-cutting/blanking tool technology areas (Matter 3582) dating from the 1990s and early 2000s. Several foreign design patents in Canada and China (Matter 599) have also lapsed. The expired portfolio represents first-generation technology that has been superseded by newer, actively protected innovations. Maintaining current enforceable patents through timely annuity and maintenance fee payments remains critical.</w:t>
      </w:r>
    </w:p>
    <w:p>
      <w:r>
        <w:br w:type="page"/>
      </w:r>
    </w:p>
    <w:p>
      <w:pPr>
        <w:pStyle w:val="Heading1"/>
      </w:pPr>
      <w:r>
        <w:rPr>
          <w:rFonts w:ascii="Arial" w:cs="Arial" w:eastAsia="Arial" w:hAnsi="Arial"/>
        </w:rPr>
        <w:t xml:space="preserve">PORTFOLIO BREAKDOWN BY MATTER</w:t>
      </w:r>
    </w:p>
    <w:p>
      <w:pPr>
        <w:pStyle w:val="Heading2"/>
      </w:pPr>
      <w:r>
        <w:rPr>
          <w:rFonts w:ascii="Arial" w:cs="Arial" w:eastAsia="Arial" w:hAnsi="Arial"/>
        </w:rPr>
        <w:t xml:space="preserve">Matter 599 — Anglelock Structural Framing Systems</w:t>
      </w:r>
    </w:p>
    <w:p>
      <w:pPr>
        <w:spacing w:after="200" w:before="0" w:line="276"/>
      </w:pPr>
      <w:r>
        <w:rPr>
          <w:rFonts w:ascii="Arial" w:cs="Arial" w:eastAsia="Arial" w:hAnsi="Arial"/>
          <w:b w:val="false"/>
          <w:bCs w:val="false"/>
          <w:i w:val="false"/>
          <w:iCs w:val="false"/>
          <w:color w:val="333333"/>
          <w:sz w:val="22"/>
          <w:szCs w:val="22"/>
        </w:rPr>
        <w:t xml:space="preserve">Matter 599 represents the core structural aluminum framing IP, encompassing 205 filings. This portfolio covers the Anglelock proprietary mechanical interlocking system, including frame members, corner pieces, hinge assemblies, connection assemblies, slides, mounts, plate mounts, three-sided corner assemblies, fastening arrangements, and T-slot adaptor components. The technology provides a structural-grade alternative to traditional T-slot aluminum extrusion systems.</w:t>
      </w:r>
    </w:p>
    <w:p>
      <w:pPr>
        <w:spacing w:after="160" w:before="0" w:line="276"/>
      </w:pPr>
      <w:r>
        <w:rPr>
          <w:rFonts w:ascii="Arial" w:cs="Arial" w:eastAsia="Arial" w:hAnsi="Arial"/>
          <w:b/>
          <w:bCs/>
          <w:color w:val="333333"/>
          <w:sz w:val="22"/>
          <w:szCs w:val="22"/>
        </w:rPr>
        <w:t xml:space="preserve">Key Utility Patents (US): </w:t>
      </w:r>
      <w:r>
        <w:rPr>
          <w:rFonts w:ascii="Arial" w:cs="Arial" w:eastAsia="Arial" w:hAnsi="Arial"/>
          <w:color w:val="333333"/>
          <w:sz w:val="22"/>
          <w:szCs w:val="22"/>
        </w:rPr>
        <w:t xml:space="preserve">The portfolio includes approximately 22 issued US utility patents covering the fundamental mechanical interlocking technology, hinge assemblies, connection systems, fastening arrangements, slide mechanisms, plate mounts, three-sided corner assemblies, and frame assembly mounts. These utility patents provide the strongest protection for the core Anglelock technology and remain the highest-value assets in the portfolio.</w:t>
      </w:r>
    </w:p>
    <w:p>
      <w:pPr>
        <w:spacing w:after="160" w:before="0" w:line="276"/>
      </w:pPr>
      <w:r>
        <w:rPr>
          <w:rFonts w:ascii="Arial" w:cs="Arial" w:eastAsia="Arial" w:hAnsi="Arial"/>
          <w:b/>
          <w:bCs/>
          <w:color w:val="333333"/>
          <w:sz w:val="22"/>
          <w:szCs w:val="22"/>
        </w:rPr>
        <w:t xml:space="preserve">Design Patents (US): </w:t>
      </w:r>
      <w:r>
        <w:rPr>
          <w:rFonts w:ascii="Arial" w:cs="Arial" w:eastAsia="Arial" w:hAnsi="Arial"/>
          <w:color w:val="333333"/>
          <w:sz w:val="22"/>
          <w:szCs w:val="22"/>
        </w:rPr>
        <w:t xml:space="preserve">Approximately 14 issued US design patents protect the ornamental appearance of corner pieces, frame members, nuts, T-bolts, and supports. Design patents have a 15-year term from grant (for patents issued after May 13, 2015) or 14 years (for earlier grants), so the earliest design patents from 2012–2013 may be approaching expiration.</w:t>
      </w:r>
    </w:p>
    <w:p>
      <w:pPr>
        <w:spacing w:after="160" w:before="0" w:line="276"/>
      </w:pPr>
      <w:r>
        <w:rPr>
          <w:rFonts w:ascii="Arial" w:cs="Arial" w:eastAsia="Arial" w:hAnsi="Arial"/>
          <w:b/>
          <w:bCs/>
          <w:color w:val="333333"/>
          <w:sz w:val="22"/>
          <w:szCs w:val="22"/>
        </w:rPr>
        <w:t xml:space="preserve">International Protection: </w:t>
      </w:r>
      <w:r>
        <w:rPr>
          <w:rFonts w:ascii="Arial" w:cs="Arial" w:eastAsia="Arial" w:hAnsi="Arial"/>
          <w:color w:val="333333"/>
          <w:sz w:val="22"/>
          <w:szCs w:val="22"/>
        </w:rPr>
        <w:t xml:space="preserve">Extensive foreign filings via EPO, national phase entries, and EUIPO design registrations provide coverage across Europe (UK, Germany, France, Italy, Sweden), Asia (Japan, Korea, China, India, Hong Kong), and Canada. The EPO-granted patents for Mechanically Interlocking Frame Assemblies (EP 2,766,616), Plate Mount (EP 3,359,823), Three-Sided Corner Assembly (EP 3,359,824), and Mount (EP 3,645,897) are particularly valuable given European market demand for precision framing systems.</w:t>
      </w:r>
    </w:p>
    <w:p>
      <w:pPr>
        <w:spacing w:after="200" w:before="0" w:line="276"/>
      </w:pPr>
      <w:r>
        <w:rPr>
          <w:rFonts w:ascii="Arial" w:cs="Arial" w:eastAsia="Arial" w:hAnsi="Arial"/>
          <w:b/>
          <w:bCs/>
          <w:color w:val="333333"/>
          <w:sz w:val="22"/>
          <w:szCs w:val="22"/>
        </w:rPr>
        <w:t xml:space="preserve">Pending / New Filings: </w:t>
      </w:r>
      <w:r>
        <w:rPr>
          <w:rFonts w:ascii="Arial" w:cs="Arial" w:eastAsia="Arial" w:hAnsi="Arial"/>
          <w:color w:val="333333"/>
          <w:sz w:val="22"/>
          <w:szCs w:val="22"/>
        </w:rPr>
        <w:t xml:space="preserve">Active prosecution includes US utility applications for the T-Slot Adaptor Nut, T-Slot Frame Member Nut, Mount for Panel Interconnection, and Structural Framing Component, along with PCT applications for Structured Framing Components, Cross Brace Assembly, Diagonal Web Assembly, Guide Rod Support Assembly, Hinge for Machine Guarding Panels, and Docking System for Transport Cart. A Hague design registration for the T-Slot Adaptor Nut has been obtained.</w:t>
      </w:r>
    </w:p>
    <w:p>
      <w:pPr>
        <w:pStyle w:val="Heading2"/>
      </w:pPr>
      <w:r>
        <w:rPr>
          <w:rFonts w:ascii="Arial" w:cs="Arial" w:eastAsia="Arial" w:hAnsi="Arial"/>
        </w:rPr>
        <w:t xml:space="preserve">Matter 3582 — Controlled Dynamics Inc. (CDI)</w:t>
      </w:r>
    </w:p>
    <w:p>
      <w:pPr>
        <w:spacing w:after="200" w:before="0" w:line="276"/>
      </w:pPr>
      <w:r>
        <w:rPr>
          <w:rFonts w:ascii="Arial" w:cs="Arial" w:eastAsia="Arial" w:hAnsi="Arial"/>
          <w:b w:val="false"/>
          <w:bCs w:val="false"/>
          <w:i w:val="false"/>
          <w:iCs w:val="false"/>
          <w:color w:val="333333"/>
          <w:sz w:val="22"/>
          <w:szCs w:val="22"/>
        </w:rPr>
        <w:t xml:space="preserve">Matter 3582 encompasses 120 filings focused on die-cutting and blanking tool technologies, including presser assemblies, flush-mounted pressers, blanking tool frame components, grid bending machines, and related manufacturing equipment. This portfolio dates back to 1994 and represents the foundational manufacturing IP.</w:t>
      </w:r>
    </w:p>
    <w:p>
      <w:pPr>
        <w:spacing w:after="160" w:before="0" w:line="276"/>
      </w:pPr>
      <w:r>
        <w:rPr>
          <w:rFonts w:ascii="Arial" w:cs="Arial" w:eastAsia="Arial" w:hAnsi="Arial"/>
          <w:b/>
          <w:bCs/>
          <w:color w:val="333333"/>
          <w:sz w:val="22"/>
          <w:szCs w:val="22"/>
        </w:rPr>
        <w:t xml:space="preserve">Legacy Technology (Expired): </w:t>
      </w:r>
      <w:r>
        <w:rPr>
          <w:rFonts w:ascii="Arial" w:cs="Arial" w:eastAsia="Arial" w:hAnsi="Arial"/>
          <w:color w:val="333333"/>
          <w:sz w:val="22"/>
          <w:szCs w:val="22"/>
        </w:rPr>
        <w:t xml:space="preserve">The earliest patents (Presser Assembly family — US 5,529,565; 5,599,269; 5,766,123) and their international counterparts have expired, as have the majority of the blanking tool component patents from the 2002–2007 era. While these patents no longer provide enforceable rights, they establish substantial prior art and demonstrate the depth of institutional knowledge in the field.</w:t>
      </w:r>
    </w:p>
    <w:p>
      <w:pPr>
        <w:spacing w:after="160" w:before="0" w:line="276"/>
      </w:pPr>
      <w:r>
        <w:rPr>
          <w:rFonts w:ascii="Arial" w:cs="Arial" w:eastAsia="Arial" w:hAnsi="Arial"/>
          <w:b/>
          <w:bCs/>
          <w:color w:val="333333"/>
          <w:sz w:val="22"/>
          <w:szCs w:val="22"/>
        </w:rPr>
        <w:t xml:space="preserve">Active Utility Patents: </w:t>
      </w:r>
      <w:r>
        <w:rPr>
          <w:rFonts w:ascii="Arial" w:cs="Arial" w:eastAsia="Arial" w:hAnsi="Arial"/>
          <w:color w:val="333333"/>
          <w:sz w:val="22"/>
          <w:szCs w:val="22"/>
        </w:rPr>
        <w:t xml:space="preserve">Key enforceable US patents include the Grid Bending Machine (7,658,090), Blanking Tool and Method of Assembly (7,992,752), Presser Assembly with Improved Mounting (8,770,103 and continuation 9,579,816), Corner Assembly (8,961,060), the recently-issued Spot Presser Assembly (12,257,805), Presser Assembly with Magnetic Biasing (12,194,706), and its continuation (12,491,694, issued December 2025).</w:t>
      </w:r>
    </w:p>
    <w:p>
      <w:pPr>
        <w:spacing w:after="200" w:before="0" w:line="276"/>
      </w:pPr>
      <w:r>
        <w:rPr>
          <w:rFonts w:ascii="Arial" w:cs="Arial" w:eastAsia="Arial" w:hAnsi="Arial"/>
          <w:b/>
          <w:bCs/>
          <w:color w:val="333333"/>
          <w:sz w:val="22"/>
          <w:szCs w:val="22"/>
        </w:rPr>
        <w:t xml:space="preserve">Active International: </w:t>
      </w:r>
      <w:r>
        <w:rPr>
          <w:rFonts w:ascii="Arial" w:cs="Arial" w:eastAsia="Arial" w:hAnsi="Arial"/>
          <w:color w:val="333333"/>
          <w:sz w:val="22"/>
          <w:szCs w:val="22"/>
        </w:rPr>
        <w:t xml:space="preserve">The EPO-granted Presser Assembly with Improved Mounting (EP 2,509,757) has been validated in Germany, France, Italy, and UK. New national phase entries for the Spot Presser Assembly and Presser Assembly with Magnetic Biasing are pending in EPO, Canada, India, and Japan as of mid-2025.</w:t>
      </w:r>
    </w:p>
    <w:p>
      <w:r>
        <w:br w:type="page"/>
      </w:r>
    </w:p>
    <w:p>
      <w:pPr>
        <w:pStyle w:val="Heading1"/>
      </w:pPr>
      <w:r>
        <w:rPr>
          <w:rFonts w:ascii="Arial" w:cs="Arial" w:eastAsia="Arial" w:hAnsi="Arial"/>
        </w:rPr>
        <w:t xml:space="preserve">TRADEMARK PORTFOLIO</w:t>
      </w:r>
    </w:p>
    <w:p>
      <w:pPr>
        <w:spacing w:after="200" w:before="0" w:line="276"/>
      </w:pPr>
      <w:r>
        <w:rPr>
          <w:rFonts w:ascii="Arial" w:cs="Arial" w:eastAsia="Arial" w:hAnsi="Arial"/>
          <w:b w:val="false"/>
          <w:bCs w:val="false"/>
          <w:i w:val="false"/>
          <w:iCs w:val="false"/>
          <w:color w:val="333333"/>
          <w:sz w:val="22"/>
          <w:szCs w:val="22"/>
        </w:rPr>
        <w:t xml:space="preserve">The combined portfolio includes 25 active registered or allowed trademarks, providing comprehensive brand protection for the Anglelock/CDI product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560"/>
      </w:tblGrid>
      <w:tr>
        <w:tc>
          <w:tcPr>
            <w:tcW w:type="dxa" w:w="2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Mark</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Jurisdiction</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Reg. No.</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ANGLELOCK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US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Registered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7,453,659</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ANGLE LOCK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US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Registered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2,884,736</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ANGLE-LOCK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US / Canada / EPO / AU / NZ / JP / UK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Registered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Multiple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ANGLE LOCK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CTM / UK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Registered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7,064,181</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ALUSTRUT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US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Registered + Allowed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5,728,454</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FLUSHPRESSER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US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Registered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2,948,850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SOLID MASS STATIC VORTEX</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US / EPO / UK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Registered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5,734,180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THE STRENGTH OF A SIMPLE IDEA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US / Canada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Registered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5,018,161</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TANKED WORKBENCH</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US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Registered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5,722,641</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TANK TOUGH</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US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Registered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5,765,535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MADE FOR SPACE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US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Registered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5,752,655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CROSS LINK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US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Registered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5,904,924</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18"/>
                <w:szCs w:val="18"/>
              </w:rPr>
              <w:t xml:space="preserve">QUICK SET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CTM / Japan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Registered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8"/>
                <w:szCs w:val="18"/>
              </w:rPr>
              <w:t xml:space="preserve">9,958,059</w:t>
            </w:r>
          </w:p>
        </w:tc>
      </w:tr>
    </w:tbl>
    <w:p>
      <w:pPr>
        <w:spacing w:before="200" w:after="200"/>
      </w:pPr>
    </w:p>
    <w:p>
      <w:pPr>
        <w:spacing w:after="200" w:before="0" w:line="276"/>
      </w:pPr>
      <w:r>
        <w:rPr>
          <w:rFonts w:ascii="Arial" w:cs="Arial" w:eastAsia="Arial" w:hAnsi="Arial"/>
          <w:b w:val="false"/>
          <w:bCs w:val="false"/>
          <w:i w:val="false"/>
          <w:iCs w:val="false"/>
          <w:color w:val="333333"/>
          <w:sz w:val="22"/>
          <w:szCs w:val="22"/>
        </w:rPr>
        <w:t xml:space="preserve">The ANGLE LOCK / ANGLE-LOCK / ANGLELOCK family of marks provides particularly strong global brand protection across 9 jurisdictions. The ALUSTRUT mark has a pending allowed application in the US (filed March 2025), which should issue to registration upon completion of the statement of use requirement.</w:t>
      </w:r>
    </w:p>
    <w:p>
      <w:r>
        <w:br w:type="page"/>
      </w:r>
    </w:p>
    <w:p>
      <w:pPr>
        <w:pStyle w:val="Heading1"/>
      </w:pPr>
      <w:r>
        <w:rPr>
          <w:rFonts w:ascii="Arial" w:cs="Arial" w:eastAsia="Arial" w:hAnsi="Arial"/>
        </w:rPr>
        <w:t xml:space="preserve">ASSET VALUATION CONSIDERATIONS</w:t>
      </w:r>
    </w:p>
    <w:p>
      <w:pPr>
        <w:spacing w:after="200" w:before="0" w:line="276"/>
      </w:pPr>
      <w:r>
        <w:rPr>
          <w:rFonts w:ascii="Arial" w:cs="Arial" w:eastAsia="Arial" w:hAnsi="Arial"/>
          <w:b w:val="false"/>
          <w:bCs w:val="false"/>
          <w:i w:val="false"/>
          <w:iCs w:val="false"/>
          <w:color w:val="333333"/>
          <w:sz w:val="22"/>
          <w:szCs w:val="22"/>
        </w:rPr>
        <w:t xml:space="preserve">While a formal patent valuation requires detailed market analysis, licensing revenue data, and cost-of-replacement modeling, the following qualitative factors are relevant to assessing the value of this portfolio:</w:t>
      </w:r>
    </w:p>
    <w:p>
      <w:pPr>
        <w:pStyle w:val="Heading3"/>
      </w:pPr>
      <w:r>
        <w:rPr>
          <w:rFonts w:ascii="Arial" w:cs="Arial" w:eastAsia="Arial" w:hAnsi="Arial"/>
        </w:rPr>
        <w:t xml:space="preserve">Factors Supporting High Value</w:t>
      </w:r>
    </w:p>
    <w:p>
      <w:pPr>
        <w:spacing w:after="160" w:before="0" w:line="276"/>
      </w:pPr>
      <w:r>
        <w:rPr>
          <w:rFonts w:ascii="Arial" w:cs="Arial" w:eastAsia="Arial" w:hAnsi="Arial"/>
          <w:b/>
          <w:bCs/>
          <w:color w:val="333333"/>
          <w:sz w:val="22"/>
          <w:szCs w:val="22"/>
        </w:rPr>
        <w:t xml:space="preserve">Market Position: </w:t>
      </w:r>
      <w:r>
        <w:rPr>
          <w:rFonts w:ascii="Arial" w:cs="Arial" w:eastAsia="Arial" w:hAnsi="Arial"/>
          <w:color w:val="333333"/>
          <w:sz w:val="22"/>
          <w:szCs w:val="22"/>
        </w:rPr>
        <w:t xml:space="preserve">The Anglelock interlocking framing system competes directly with established T-slot systems (Bosch Rexroth, Item, 80/20 Inc.), and the patent portfolio provides strong differentiation and freedom to operate. The CDI presser technology serves the global die-cutting and blanking tool market with no close substitutes.</w:t>
      </w:r>
    </w:p>
    <w:p>
      <w:pPr>
        <w:spacing w:after="160" w:before="0" w:line="276"/>
      </w:pPr>
      <w:r>
        <w:rPr>
          <w:rFonts w:ascii="Arial" w:cs="Arial" w:eastAsia="Arial" w:hAnsi="Arial"/>
          <w:b/>
          <w:bCs/>
          <w:color w:val="333333"/>
          <w:sz w:val="22"/>
          <w:szCs w:val="22"/>
        </w:rPr>
        <w:t xml:space="preserve">Breadth and Depth: </w:t>
      </w:r>
      <w:r>
        <w:rPr>
          <w:rFonts w:ascii="Arial" w:cs="Arial" w:eastAsia="Arial" w:hAnsi="Arial"/>
          <w:color w:val="333333"/>
          <w:sz w:val="22"/>
          <w:szCs w:val="22"/>
        </w:rPr>
        <w:t xml:space="preserve">119 enforceable patents across 15+ countries create a dense thicket that is difficult for competitors to design around. The combination of utility and design patents, covering both functional mechanisms and ornamental features, provides layered protection.</w:t>
      </w:r>
    </w:p>
    <w:p>
      <w:pPr>
        <w:spacing w:after="160" w:before="0" w:line="276"/>
      </w:pPr>
      <w:r>
        <w:rPr>
          <w:rFonts w:ascii="Arial" w:cs="Arial" w:eastAsia="Arial" w:hAnsi="Arial"/>
          <w:b/>
          <w:bCs/>
          <w:color w:val="333333"/>
          <w:sz w:val="22"/>
          <w:szCs w:val="22"/>
        </w:rPr>
        <w:t xml:space="preserve">Remaining Patent Life: </w:t>
      </w:r>
      <w:r>
        <w:rPr>
          <w:rFonts w:ascii="Arial" w:cs="Arial" w:eastAsia="Arial" w:hAnsi="Arial"/>
          <w:color w:val="333333"/>
          <w:sz w:val="22"/>
          <w:szCs w:val="22"/>
        </w:rPr>
        <w:t xml:space="preserve">Many core utility patents (filed 2011–2020) have 5–15 years of remaining term. The newest issued patents (2023–2025) have nearly full 20-year terms remaining. Pending applications, if granted, will extend protection into the 2040s.</w:t>
      </w:r>
    </w:p>
    <w:p>
      <w:pPr>
        <w:spacing w:after="160" w:before="0" w:line="276"/>
      </w:pPr>
      <w:r>
        <w:rPr>
          <w:rFonts w:ascii="Arial" w:cs="Arial" w:eastAsia="Arial" w:hAnsi="Arial"/>
          <w:b/>
          <w:bCs/>
          <w:color w:val="333333"/>
          <w:sz w:val="22"/>
          <w:szCs w:val="22"/>
        </w:rPr>
        <w:t xml:space="preserve">Active Innovation Pipeline: </w:t>
      </w:r>
      <w:r>
        <w:rPr>
          <w:rFonts w:ascii="Arial" w:cs="Arial" w:eastAsia="Arial" w:hAnsi="Arial"/>
          <w:color w:val="333333"/>
          <w:sz w:val="22"/>
          <w:szCs w:val="22"/>
        </w:rPr>
        <w:t xml:space="preserve">21 pending applications represent future asset growth. The new product areas (machine guarding hinges, transport cart docking systems, guide rod supports) suggest expansion into adjacent markets.</w:t>
      </w:r>
    </w:p>
    <w:p>
      <w:pPr>
        <w:spacing w:after="200" w:before="0" w:line="276"/>
      </w:pPr>
      <w:r>
        <w:rPr>
          <w:rFonts w:ascii="Arial" w:cs="Arial" w:eastAsia="Arial" w:hAnsi="Arial"/>
          <w:b/>
          <w:bCs/>
          <w:color w:val="333333"/>
          <w:sz w:val="22"/>
          <w:szCs w:val="22"/>
        </w:rPr>
        <w:t xml:space="preserve">Trademark Portfolio: </w:t>
      </w:r>
      <w:r>
        <w:rPr>
          <w:rFonts w:ascii="Arial" w:cs="Arial" w:eastAsia="Arial" w:hAnsi="Arial"/>
          <w:color w:val="333333"/>
          <w:sz w:val="22"/>
          <w:szCs w:val="22"/>
        </w:rPr>
        <w:t xml:space="preserve">25 active trademark registrations, particularly the globally protected ANGLELOCK family, provide indefinite-duration brand equity that complements the patent portfolio.</w:t>
      </w:r>
    </w:p>
    <w:p>
      <w:pPr>
        <w:pStyle w:val="Heading3"/>
      </w:pPr>
      <w:r>
        <w:rPr>
          <w:rFonts w:ascii="Arial" w:cs="Arial" w:eastAsia="Arial" w:hAnsi="Arial"/>
        </w:rPr>
        <w:t xml:space="preserve">Factors Requiring Attention</w:t>
      </w:r>
    </w:p>
    <w:p>
      <w:pPr>
        <w:spacing w:after="160" w:before="0" w:line="276"/>
      </w:pPr>
      <w:r>
        <w:rPr>
          <w:rFonts w:ascii="Arial" w:cs="Arial" w:eastAsia="Arial" w:hAnsi="Arial"/>
          <w:b/>
          <w:bCs/>
          <w:color w:val="333333"/>
          <w:sz w:val="22"/>
          <w:szCs w:val="22"/>
        </w:rPr>
        <w:t xml:space="preserve">Maintenance Costs: </w:t>
      </w:r>
      <w:r>
        <w:rPr>
          <w:rFonts w:ascii="Arial" w:cs="Arial" w:eastAsia="Arial" w:hAnsi="Arial"/>
          <w:color w:val="333333"/>
          <w:sz w:val="22"/>
          <w:szCs w:val="22"/>
        </w:rPr>
        <w:t xml:space="preserve">Maintaining 119 patents across 15+ countries involves substantial annual annuity and maintenance fee obligations. A cost-benefit analysis of each foreign filing should be conducted periodically to confirm continued commercial justification.</w:t>
      </w:r>
    </w:p>
    <w:p>
      <w:pPr>
        <w:spacing w:after="160" w:before="0" w:line="276"/>
      </w:pPr>
      <w:r>
        <w:rPr>
          <w:rFonts w:ascii="Arial" w:cs="Arial" w:eastAsia="Arial" w:hAnsi="Arial"/>
          <w:b/>
          <w:bCs/>
          <w:color w:val="333333"/>
          <w:sz w:val="22"/>
          <w:szCs w:val="22"/>
        </w:rPr>
        <w:t xml:space="preserve">Design Patent Expiration: </w:t>
      </w:r>
      <w:r>
        <w:rPr>
          <w:rFonts w:ascii="Arial" w:cs="Arial" w:eastAsia="Arial" w:hAnsi="Arial"/>
          <w:color w:val="333333"/>
          <w:sz w:val="22"/>
          <w:szCs w:val="22"/>
        </w:rPr>
        <w:t xml:space="preserve">Several US design patents from the 2012–2014 era are approaching or have reached their 14-year expiration. Consideration should be given to whether updated design filings are warranted for current product iterations.</w:t>
      </w:r>
    </w:p>
    <w:p>
      <w:pPr>
        <w:spacing w:after="200" w:before="0" w:line="276"/>
      </w:pPr>
      <w:r>
        <w:rPr>
          <w:rFonts w:ascii="Arial" w:cs="Arial" w:eastAsia="Arial" w:hAnsi="Arial"/>
          <w:b/>
          <w:bCs/>
          <w:color w:val="333333"/>
          <w:sz w:val="22"/>
          <w:szCs w:val="22"/>
        </w:rPr>
        <w:t xml:space="preserve">Enforcement History: </w:t>
      </w:r>
      <w:r>
        <w:rPr>
          <w:rFonts w:ascii="Arial" w:cs="Arial" w:eastAsia="Arial" w:hAnsi="Arial"/>
          <w:color w:val="333333"/>
          <w:sz w:val="22"/>
          <w:szCs w:val="22"/>
        </w:rPr>
        <w:t xml:space="preserve">Patent value is significantly enhanced by documented enforcement activity (cease-and-desist actions, licensing agreements, litigation outcomes). The presence or absence of enforcement history should be factored into any formal valuation.</w:t>
      </w:r>
    </w:p>
    <w:p>
      <w:r>
        <w:br w:type="page"/>
      </w:r>
    </w:p>
    <w:p>
      <w:pPr>
        <w:pStyle w:val="Heading1"/>
      </w:pPr>
      <w:r>
        <w:rPr>
          <w:rFonts w:ascii="Arial" w:cs="Arial" w:eastAsia="Arial" w:hAnsi="Arial"/>
        </w:rPr>
        <w:t xml:space="preserve">US PATENTS — CHRONOLOGICAL FILING ORDER</w:t>
      </w:r>
    </w:p>
    <w:p>
      <w:pPr>
        <w:spacing w:after="200" w:before="0" w:line="276"/>
      </w:pPr>
      <w:r>
        <w:rPr>
          <w:rFonts w:ascii="Arial" w:cs="Arial" w:eastAsia="Arial" w:hAnsi="Arial"/>
          <w:b w:val="false"/>
          <w:bCs w:val="false"/>
          <w:i w:val="false"/>
          <w:iCs w:val="false"/>
          <w:color w:val="333333"/>
          <w:sz w:val="22"/>
          <w:szCs w:val="22"/>
        </w:rPr>
        <w:t xml:space="preserve">The following table lists the key US patent filings in chronological order by filing date, including both Matter 599 and Matter 3582 portfolios. This list focuses on US utility and design patents (excluding PCT, foreign counterparts, and trademarks).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3360"/>
        <w:gridCol w:w="1200"/>
        <w:gridCol w:w="1200"/>
        <w:gridCol w:w="1500"/>
      </w:tblGrid>
      <w:tr>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Filing Date</w:t>
            </w:r>
          </w:p>
        </w:tc>
        <w:tc>
          <w:tcPr>
            <w:tcW w:type="dxa" w:w="9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Case</w:t>
            </w:r>
          </w:p>
        </w:tc>
        <w:tc>
          <w:tcPr>
            <w:tcW w:type="dxa" w:w="33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Title</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Country</w:t>
            </w:r>
          </w:p>
        </w:tc>
        <w:tc>
          <w:tcPr>
            <w:tcW w:type="dxa" w:w="1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Patent No.</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1994-01-18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3582.036</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Presser Assembly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5,529,565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1994-09-08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3582.037</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Presser Assembly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5,599,269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1995-01-18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3582.040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Presser Assembly (PCT)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Done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PCT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1995-01-18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3582.045</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Presser Assembly (Europe)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Europe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0 740 597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1996-08-26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3582.038</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Presser Assembly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5,766,123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2001-12-26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3582.018</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Flush Mounted Presser Assembly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6,966,873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2002-02-20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3582.034</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Clamp Pieces for Lower Frame Assembly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6,769,342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2002-02-20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3582.035</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Lower Frame Assembly for Blanking Tool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6,722,811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2002-06-03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3582.017</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Flush Mounted Presser Assembly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7,128,703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2002-06-06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3582.003</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Welding Jig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6,648,318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2002-06-06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3582.004</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Clamp Pieces for Lower Frame Assembly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6,708,858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2002-07-17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3582.007</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Stiffening Rail Support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6,712,254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2002-07-17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3582.008</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Panel Connection Device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6,715,953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2002-07-17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3582.009</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Jogger for Lower Frame Assembly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6,796,474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2002-09-18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3582.033</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Locator Bracket for Blanking Tool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6,997,364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2002-11-06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3582.010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Connection Device for Blanking Tool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7,143,916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2003-05-14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3582.014</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Stiffening Assembly for Blanking Tool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6,942,132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2003-12-09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3582.016</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Rail Assembly for Blanking Tool Insert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7,185,797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2004-05-14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3582.053</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Frame Assembly for Carton Die Cutting Machine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7,182,235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2004-07-14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3582.058</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Clamp Pieces for Lower Frame Assembly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6,904,837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2005-02-18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3582.065</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Flush Mounted Presser Assembly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999999"/>
                <w:sz w:val="16"/>
                <w:szCs w:val="16"/>
              </w:rPr>
              <w:t xml:space="preserve">Expired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7,341,551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2006-06-30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3582.078_1</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Blanking Tool and Method of Assembly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7,992,752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2006-09-08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3582.068_1</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Grid Bending Machine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7,658,090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2009-12-08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3582.086</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Presser Assembly - Improved Mounting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8,770,103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2010-01-26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599.091</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Corner Piece (Design)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D654,936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2010-02-02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599.092</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Frame Member (Design)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D655,021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2011-04-14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599.104</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Hinge Assembly for Frame Structure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8,689,515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2011-04-14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599.106</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Frame Member for Structure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8,474,213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2011-04-14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599.108</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Connection Assembly for Frame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8,454,259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2011-04-14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599.110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Slide for Interconnecting to Frame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9,115,741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2011-04-14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599.112_1</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Connection Assembly for Frame Structure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8,888,397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2011-10-14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599.141</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Mechanically Interlocking Frame Assemblies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9,016,972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2011-11-11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599.138</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Nut (Design)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D705,648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2011-11-11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599.139</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Corner Piece (Design)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D715,339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2011-11-11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599.140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Frame Member (Design)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D708,353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2013-02-28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599.196</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Connection Assembly for Frame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8,915,668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2013-03-11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3582.108</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Corner Assembly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8,961,060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2013-03-12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599.167</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Fastening Arrangement and Method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9,212,675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2013-03-07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3582.109</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Presser Assembly - Improved Mounting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9,579,816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2014-09-05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599.225</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Corner Piece (Design)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D750,143</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2015-11-24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599.231</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Fastening Arrangement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10,066,654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2016-04-29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599.233</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Corner Piece for Interlocking Frame Members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9,702,389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2017-06-28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599.238</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Mount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10,648,496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2018-03-28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599.245</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Plate Mount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11,022,160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2018-03-28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599.250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Three-Sided Corner Assembly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10,935,061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2020-04-09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599.263</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Frame Assembly with Mount for Panel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11,629,738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2023-01-18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3582.120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Spot Presser Assembly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12,257,805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2023-02-03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3582.121</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Presser Assembly with Magnetic Biasing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12,194,706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2024-04-30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599.306</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T-Slot Adaptor Nut (Design)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CC6600"/>
                <w:sz w:val="16"/>
                <w:szCs w:val="16"/>
              </w:rPr>
              <w:t xml:space="preserve">Pending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2024-04-30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599.307</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T-Slot Frame Member Nut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CC6600"/>
                <w:sz w:val="16"/>
                <w:szCs w:val="16"/>
              </w:rPr>
              <w:t xml:space="preserve">Pending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2024-12-09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3582.132</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Presser Assembly with Magnetic Biasing (Cont.)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006600"/>
                <w:sz w:val="16"/>
                <w:szCs w:val="16"/>
              </w:rPr>
              <w:t xml:space="preserve">Issued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12,491,694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2025-07-17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599.316</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Mount for Panel to Frame Member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CC6600"/>
                <w:sz w:val="16"/>
                <w:szCs w:val="16"/>
              </w:rPr>
              <w:t xml:space="preserve">Pending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2026-01-30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599.320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Structural Framing Component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CC6600"/>
                <w:sz w:val="16"/>
                <w:szCs w:val="16"/>
              </w:rPr>
              <w:t xml:space="preserve">Pending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US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333333"/>
                <w:sz w:val="16"/>
                <w:szCs w:val="16"/>
              </w:rPr>
              <w:t xml:space="preserve">-</w:t>
            </w:r>
          </w:p>
        </w:tc>
      </w:tr>
    </w:tbl>
    <w:p>
      <w:r>
        <w:br w:type="page"/>
      </w:r>
    </w:p>
    <w:p>
      <w:pPr>
        <w:pStyle w:val="Heading1"/>
      </w:pPr>
      <w:r>
        <w:rPr>
          <w:rFonts w:ascii="Arial" w:cs="Arial" w:eastAsia="Arial" w:hAnsi="Arial"/>
        </w:rPr>
        <w:t xml:space="preserve">RECOMMENDATIONS</w:t>
      </w:r>
    </w:p>
    <w:p>
      <w:pPr>
        <w:pStyle w:val="Heading2"/>
      </w:pPr>
      <w:r>
        <w:rPr>
          <w:rFonts w:ascii="Arial" w:cs="Arial" w:eastAsia="Arial" w:hAnsi="Arial"/>
        </w:rPr>
        <w:t xml:space="preserve">Immediate Actions</w:t>
      </w:r>
    </w:p>
    <w:p>
      <w:pPr>
        <w:pStyle w:val="ListParagraph"/>
        <w:numPr>
          <w:ilvl w:val="0"/>
          <w:numId w:val="2"/>
        </w:numPr>
        <w:spacing w:after="100"/>
      </w:pPr>
      <w:r>
        <w:rPr>
          <w:rFonts w:ascii="Arial" w:cs="Arial" w:eastAsia="Arial" w:hAnsi="Arial"/>
          <w:b/>
          <w:bCs/>
          <w:sz w:val="22"/>
          <w:szCs w:val="22"/>
        </w:rPr>
        <w:t xml:space="preserve">Maintenance Fee Audit: </w:t>
      </w:r>
      <w:r>
        <w:rPr>
          <w:rFonts w:ascii="Arial" w:cs="Arial" w:eastAsia="Arial" w:hAnsi="Arial"/>
          <w:sz w:val="22"/>
          <w:szCs w:val="22"/>
        </w:rPr>
        <w:t xml:space="preserve">Confirm all maintenance/annuity fee deadlines for the 119 enforceable patents are docketed and paid current. Any lapsed fees may be curable within grace periods.</w:t>
      </w:r>
    </w:p>
    <w:p>
      <w:pPr>
        <w:pStyle w:val="ListParagraph"/>
        <w:numPr>
          <w:ilvl w:val="0"/>
          <w:numId w:val="2"/>
        </w:numPr>
        <w:spacing w:after="100"/>
      </w:pPr>
      <w:r>
        <w:rPr>
          <w:rFonts w:ascii="Arial" w:cs="Arial" w:eastAsia="Arial" w:hAnsi="Arial"/>
          <w:b/>
          <w:bCs/>
          <w:sz w:val="22"/>
          <w:szCs w:val="22"/>
        </w:rPr>
        <w:t xml:space="preserve">Design Patent Review: </w:t>
      </w:r>
      <w:r>
        <w:rPr>
          <w:rFonts w:ascii="Arial" w:cs="Arial" w:eastAsia="Arial" w:hAnsi="Arial"/>
          <w:sz w:val="22"/>
          <w:szCs w:val="22"/>
        </w:rPr>
        <w:t xml:space="preserve">Assess expiration dates for US design patents from 2012–2014 and determine whether continuation or new design filings are appropriate for current product configurations.</w:t>
      </w:r>
    </w:p>
    <w:p>
      <w:pPr>
        <w:pStyle w:val="ListParagraph"/>
        <w:numPr>
          <w:ilvl w:val="0"/>
          <w:numId w:val="2"/>
        </w:numPr>
        <w:spacing w:after="100"/>
      </w:pPr>
      <w:r>
        <w:rPr>
          <w:rFonts w:ascii="Arial" w:cs="Arial" w:eastAsia="Arial" w:hAnsi="Arial"/>
          <w:b/>
          <w:bCs/>
          <w:sz w:val="22"/>
          <w:szCs w:val="22"/>
        </w:rPr>
        <w:t xml:space="preserve">Pending Application Prosecution: </w:t>
      </w:r>
      <w:r>
        <w:rPr>
          <w:rFonts w:ascii="Arial" w:cs="Arial" w:eastAsia="Arial" w:hAnsi="Arial"/>
          <w:sz w:val="22"/>
          <w:szCs w:val="22"/>
        </w:rPr>
        <w:t xml:space="preserve">Prioritize prosecution of the 21 pending applications, particularly the US utility applications (599.306, 599.307, 599.316, 599.320) which represent the next generation of Anglelock technology.</w:t>
      </w:r>
    </w:p>
    <w:p>
      <w:pPr>
        <w:pStyle w:val="Heading2"/>
      </w:pPr>
      <w:r>
        <w:rPr>
          <w:rFonts w:ascii="Arial" w:cs="Arial" w:eastAsia="Arial" w:hAnsi="Arial"/>
        </w:rPr>
        <w:t xml:space="preserve">Strategic Considerations</w:t>
      </w:r>
    </w:p>
    <w:p>
      <w:pPr>
        <w:pStyle w:val="ListParagraph"/>
        <w:numPr>
          <w:ilvl w:val="0"/>
          <w:numId w:val="2"/>
        </w:numPr>
        <w:spacing w:after="100"/>
      </w:pPr>
      <w:r>
        <w:rPr>
          <w:rFonts w:ascii="Arial" w:cs="Arial" w:eastAsia="Arial" w:hAnsi="Arial"/>
          <w:b/>
          <w:bCs/>
          <w:sz w:val="22"/>
          <w:szCs w:val="22"/>
        </w:rPr>
        <w:t xml:space="preserve">Licensing Program: </w:t>
      </w:r>
      <w:r>
        <w:rPr>
          <w:rFonts w:ascii="Arial" w:cs="Arial" w:eastAsia="Arial" w:hAnsi="Arial"/>
          <w:sz w:val="22"/>
          <w:szCs w:val="22"/>
        </w:rPr>
        <w:t xml:space="preserve">Evaluate whether a formal licensing program could generate revenue from the enforceable portfolio, particularly for the core interlocking frame technology in markets where the company does not directly compete.</w:t>
      </w:r>
    </w:p>
    <w:p>
      <w:pPr>
        <w:pStyle w:val="ListParagraph"/>
        <w:numPr>
          <w:ilvl w:val="0"/>
          <w:numId w:val="2"/>
        </w:numPr>
        <w:spacing w:after="100"/>
      </w:pPr>
      <w:r>
        <w:rPr>
          <w:rFonts w:ascii="Arial" w:cs="Arial" w:eastAsia="Arial" w:hAnsi="Arial"/>
          <w:b/>
          <w:bCs/>
          <w:sz w:val="22"/>
          <w:szCs w:val="22"/>
        </w:rPr>
        <w:t xml:space="preserve">Freedom to Operate: </w:t>
      </w:r>
      <w:r>
        <w:rPr>
          <w:rFonts w:ascii="Arial" w:cs="Arial" w:eastAsia="Arial" w:hAnsi="Arial"/>
          <w:sz w:val="22"/>
          <w:szCs w:val="22"/>
        </w:rPr>
        <w:t xml:space="preserve">For new product launches (machine guarding, transport carts), conduct FTO analyses to ensure the new products do not infringe third-party rights, while leveraging the existing portfolio for cross-licensing opportunities.</w:t>
      </w:r>
    </w:p>
    <w:p>
      <w:pPr>
        <w:pStyle w:val="ListParagraph"/>
        <w:numPr>
          <w:ilvl w:val="0"/>
          <w:numId w:val="2"/>
        </w:numPr>
        <w:spacing w:after="100"/>
      </w:pPr>
      <w:r>
        <w:rPr>
          <w:rFonts w:ascii="Arial" w:cs="Arial" w:eastAsia="Arial" w:hAnsi="Arial"/>
          <w:b/>
          <w:bCs/>
          <w:sz w:val="22"/>
          <w:szCs w:val="22"/>
        </w:rPr>
        <w:t xml:space="preserve">Saudi Arabia / MENA Expansion: </w:t>
      </w:r>
      <w:r>
        <w:rPr>
          <w:rFonts w:ascii="Arial" w:cs="Arial" w:eastAsia="Arial" w:hAnsi="Arial"/>
          <w:sz w:val="22"/>
          <w:szCs w:val="22"/>
        </w:rPr>
        <w:t xml:space="preserve">Given planned market entry via ALUMINIUM Arabia, evaluate filing patent and trademark applications in Saudi Arabia, UAE, and other GCC countries where the Anglelock technology will be marketed under Vision 2030 mega-projects.</w:t>
      </w:r>
    </w:p>
    <w:p>
      <w:pPr>
        <w:pStyle w:val="ListParagraph"/>
        <w:numPr>
          <w:ilvl w:val="0"/>
          <w:numId w:val="2"/>
        </w:numPr>
        <w:spacing w:after="100"/>
      </w:pPr>
      <w:r>
        <w:rPr>
          <w:rFonts w:ascii="Arial" w:cs="Arial" w:eastAsia="Arial" w:hAnsi="Arial"/>
          <w:b/>
          <w:bCs/>
          <w:sz w:val="22"/>
          <w:szCs w:val="22"/>
        </w:rPr>
        <w:t xml:space="preserve">Portfolio Pruning: </w:t>
      </w:r>
      <w:r>
        <w:rPr>
          <w:rFonts w:ascii="Arial" w:cs="Arial" w:eastAsia="Arial" w:hAnsi="Arial"/>
          <w:sz w:val="22"/>
          <w:szCs w:val="22"/>
        </w:rPr>
        <w:t xml:space="preserve">Conduct a cost-benefit review of foreign filings in jurisdictions with limited commercial activity. Allowing non-strategic foreign patents to lapse can reduce annual maintenance costs without materially affecting portfolio value.</w:t>
      </w:r>
    </w:p>
    <w:p>
      <w:pPr>
        <w:spacing w:before="400" w:after="400"/>
      </w:pPr>
    </w:p>
    <w:p>
      <w:pPr>
        <w:pBdr>
          <w:top w:val="single" w:color="1F3864" w:sz="4" w:space="8"/>
        </w:pBdr>
        <w:spacing w:before="200" w:after="80"/>
      </w:pPr>
      <w:r>
        <w:rPr>
          <w:rFonts w:ascii="Arial" w:cs="Arial" w:eastAsia="Arial" w:hAnsi="Arial"/>
          <w:b/>
          <w:bCs/>
          <w:color w:val="CC0000"/>
          <w:sz w:val="18"/>
          <w:szCs w:val="18"/>
        </w:rPr>
        <w:t xml:space="preserve">DISCLAIMER: </w:t>
      </w:r>
      <w:r>
        <w:rPr>
          <w:rFonts w:ascii="Arial" w:cs="Arial" w:eastAsia="Arial" w:hAnsi="Arial"/>
          <w:i/>
          <w:iCs/>
          <w:color w:val="666666"/>
          <w:sz w:val="18"/>
          <w:szCs w:val="18"/>
        </w:rPr>
        <w:t xml:space="preserve">This analysis is provided for informational purposes and does not constitute formal legal advice. Patent status, enforceability, and valuation require verification through the respective patent offices (USPTO, EPO, WIPO, etc.) and formal opinion from licensed patent counsel. This review is based solely on the data provided in the spreadsheets and does not reflect independent verification of patent office records.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Patent Portfolio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2026-02-17T02:19:59.370Z</dcterms:created>
  <dcterms:modified xsi:type="dcterms:W3CDTF">2026-02-17T02:19:59.371Z</dcterms:modified>
</cp:coreProperties>
</file>

<file path=docProps/custom.xml><?xml version="1.0" encoding="utf-8"?>
<Properties xmlns="http://schemas.openxmlformats.org/officeDocument/2006/custom-properties" xmlns:vt="http://schemas.openxmlformats.org/officeDocument/2006/docPropsVTypes"/>
</file>