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微软雅黑"/>
        </w:rPr>
        <w:t>FinAudit-Graph 智能审计报告</w:t>
      </w:r>
    </w:p>
    <w:p>
      <w:pPr>
        <w:pStyle w:val="Heading1"/>
      </w:pPr>
      <w:r>
        <w:t>一、被审计对象</w:t>
      </w:r>
    </w:p>
    <w:p>
      <w:r>
        <w:t>企业名称：华辰智能装备股份有限公司</w:t>
      </w:r>
    </w:p>
    <w:p>
      <w:r>
        <w:t>报告年度：2025</w:t>
      </w:r>
    </w:p>
    <w:p>
      <w:r>
        <w:t>原始文件：demo_annual_report.pdf</w:t>
      </w:r>
    </w:p>
    <w:p>
      <w:pPr>
        <w:pStyle w:val="Heading1"/>
      </w:pPr>
      <w:r>
        <w:t>二、潜在关联方</w:t>
      </w:r>
    </w:p>
    <w:p>
      <w:pPr>
        <w:pStyle w:val="ListBullet"/>
      </w:pPr>
      <w:r>
        <w:t>启明供应链管理有限公司：共同实际控制人，穿透深度 2。控股股东通过关联自然人间接持股，且交易对手与被审计企业高管存在交叉任职。</w:t>
      </w:r>
    </w:p>
    <w:p>
      <w:pPr>
        <w:pStyle w:val="ListBullet"/>
      </w:pPr>
      <w:r>
        <w:t>远航商业保理有限公司：资金往来密集，穿透深度 1。其他应收款长期挂账，保理公司历史投资人与控股股东存在共同投资记录。</w:t>
      </w:r>
    </w:p>
    <w:p>
      <w:pPr>
        <w:pStyle w:val="ListBullet"/>
      </w:pPr>
      <w:r>
        <w:t>海岳新材料有限公司：供应商疑似受同一控制，穿透深度 3。供应商法定代表人与被审计企业前高管存在任职重叠，采购价格偏离同类交易。</w:t>
      </w:r>
    </w:p>
    <w:p>
      <w:pPr>
        <w:pStyle w:val="Heading1"/>
      </w:pPr>
      <w:r>
        <w:t>三、审计风险点</w:t>
      </w:r>
    </w:p>
    <w:p>
      <w:pPr>
        <w:pStyle w:val="Heading2"/>
      </w:pPr>
      <w:r>
        <w:t>虚增收入（高）</w:t>
      </w:r>
    </w:p>
    <w:p>
      <w:r>
        <w:t>依据：收入增长率显著高于经营现金流增长率，且应收账款同步快速上升。</w:t>
      </w:r>
    </w:p>
    <w:p>
      <w:r>
        <w:t>准则/审计关注：审计人员应关注收入确认是否满足合同履约义务、验收证据、客户回款和截止性要求。若收入增长与经营现金流、应收账款变动明显背离，应执行进一步复核程序。</w:t>
      </w:r>
    </w:p>
    <w:p>
      <w:r>
        <w:t>建议：抽查期末大额合同、验收单、发票和回款记录，重点复核跨期收入。</w:t>
      </w:r>
    </w:p>
    <w:p>
      <w:pPr>
        <w:pStyle w:val="Heading2"/>
      </w:pPr>
      <w:r>
        <w:t>关联方利益输送（高）</w:t>
      </w:r>
    </w:p>
    <w:p>
      <w:r>
        <w:t>依据：图谱发现 3 个潜在关联方，存在共同控制或资金往来线索。</w:t>
      </w:r>
    </w:p>
    <w:p>
      <w:r>
        <w:t>准则/审计关注：审计人员应识别实际控制、共同控制、重大影响、资金往来和高管交叉任职等关联方线索，并复核交易定价、公允性和披露完整性。</w:t>
      </w:r>
    </w:p>
    <w:p>
      <w:r>
        <w:t>建议：执行股权穿透和银行流水核查，补充关联交易披露充分性测试。</w:t>
      </w:r>
    </w:p>
    <w:p>
      <w:pPr>
        <w:pStyle w:val="Heading2"/>
      </w:pPr>
      <w:r>
        <w:t>内控缺陷（中）</w:t>
      </w:r>
    </w:p>
    <w:p>
      <w:r>
        <w:t>依据：收入、应收和关联方线索同时异常，提示审批和复核控制可能不足。</w:t>
      </w:r>
    </w:p>
    <w:p>
      <w:r>
        <w:t>准则/审计关注：关键业务流程应形成审批、验收、对账、复核和授权记录。若收入、采购、付款或往来款流程缺少关键控制证据，应评估内控缺陷及其对财务报表的影响。</w:t>
      </w:r>
    </w:p>
    <w:p>
      <w:r>
        <w:t>建议：复核销售审批、客户信用评估和期后回款监控流程。</w:t>
      </w:r>
    </w:p>
    <w:p>
      <w:pPr>
        <w:pStyle w:val="Heading2"/>
      </w:pPr>
      <w:r>
        <w:t>成本结转异常（中）</w:t>
      </w:r>
    </w:p>
    <w:p>
      <w:r>
        <w:t>依据：毛利率高于常规制造业水平，需要核查成本结转完整性。</w:t>
      </w:r>
    </w:p>
    <w:p>
      <w:r>
        <w:t>准则/审计关注：审计人员应关注成本结转是否与收入配比，存货计价、发出、减值和成本分摊规则是否一致。毛利率异常波动时，应检查成本计算单和出入库记录。</w:t>
      </w:r>
    </w:p>
    <w:p>
      <w:r>
        <w:t>建议：抽查成本计算单、出入库记录和成本分摊规则。</w:t>
      </w:r>
    </w:p>
    <w:p>
      <w:pPr>
        <w:pStyle w:val="Heading1"/>
      </w:pPr>
      <w:r>
        <w:t>四、综合结论</w:t>
      </w:r>
    </w:p>
    <w:p>
      <w:r>
        <w:t>系统建议将该企业列为高优先级复核对象，重点围绕收入真实性、关联交易披露充分性、成本结转完整性和内控审批链条开展进一步审计程序。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