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Arial" w:hAnsi="Arial" w:eastAsia="微软雅黑"/>
        </w:rPr>
        <w:t>企业合规风控审计报告</w:t>
      </w:r>
    </w:p>
    <w:p>
      <w:r>
        <w:rPr>
          <w:rFonts w:ascii="Arial" w:hAnsi="Arial" w:eastAsia="微软雅黑"/>
        </w:rPr>
        <w:t>FinAudit-Graph MVP 自动生成</w:t>
      </w:r>
    </w:p>
    <w:p>
      <w:pPr>
        <w:pStyle w:val="Heading1"/>
      </w:pPr>
      <w:r>
        <w:rPr>
          <w:rFonts w:ascii="Arial" w:hAnsi="Arial" w:eastAsia="微软雅黑"/>
        </w:rPr>
        <w:t>一、执行摘要</w:t>
      </w:r>
    </w:p>
    <w:p>
      <w:r>
        <w:rPr>
          <w:rFonts w:ascii="Arial" w:hAnsi="Arial" w:eastAsia="微软雅黑"/>
        </w:rPr>
        <w:t>本报告由 FinAudit-Graph MVP 自动生成。系统围绕 测试科技有限公司 的财务指标、潜在关联方和审计准则依据进行多智能体分析，共识别 3 个审计风险点，其中高风险 1 个。当前结论适合作为答辩演示、审计底稿初筛和后续人工复核线索。</w:t>
      </w:r>
    </w:p>
    <w:p>
      <w:pPr>
        <w:pStyle w:val="Heading1"/>
      </w:pPr>
      <w:r>
        <w:rPr>
          <w:rFonts w:ascii="Arial" w:hAnsi="Arial" w:eastAsia="微软雅黑"/>
        </w:rPr>
        <w:t>二、被审计对象与输入材料</w:t>
      </w:r>
    </w:p>
    <w:p>
      <w:pPr>
        <w:pStyle w:val="ListBullet"/>
      </w:pPr>
      <w:r>
        <w:rPr>
          <w:rFonts w:ascii="Arial" w:hAnsi="Arial" w:eastAsia="微软雅黑"/>
        </w:rPr>
        <w:t>- 企业名称：测试科技有限公司</w:t>
      </w:r>
    </w:p>
    <w:p>
      <w:pPr>
        <w:pStyle w:val="ListBullet"/>
      </w:pPr>
      <w:r>
        <w:rPr>
          <w:rFonts w:ascii="Arial" w:hAnsi="Arial" w:eastAsia="微软雅黑"/>
        </w:rPr>
        <w:t>- 报告年度：2024</w:t>
      </w:r>
    </w:p>
    <w:p>
      <w:pPr>
        <w:pStyle w:val="ListBullet"/>
      </w:pPr>
      <w:r>
        <w:rPr>
          <w:rFonts w:ascii="Arial" w:hAnsi="Arial" w:eastAsia="微软雅黑"/>
        </w:rPr>
        <w:t>- 原始文件：test_audit.txt</w:t>
      </w:r>
    </w:p>
    <w:p>
      <w:pPr>
        <w:pStyle w:val="ListBullet"/>
      </w:pPr>
      <w:r>
        <w:rPr>
          <w:rFonts w:ascii="Arial" w:hAnsi="Arial" w:eastAsia="微软雅黑"/>
        </w:rPr>
        <w:t>- 收入增长率：35.5%</w:t>
      </w:r>
    </w:p>
    <w:p>
      <w:pPr>
        <w:pStyle w:val="ListBullet"/>
      </w:pPr>
      <w:r>
        <w:rPr>
          <w:rFonts w:ascii="Arial" w:hAnsi="Arial" w:eastAsia="微软雅黑"/>
        </w:rPr>
        <w:t>- 经营现金流增长率：-8.2%</w:t>
      </w:r>
    </w:p>
    <w:p>
      <w:pPr>
        <w:pStyle w:val="ListBullet"/>
      </w:pPr>
      <w:r>
        <w:rPr>
          <w:rFonts w:ascii="Arial" w:hAnsi="Arial" w:eastAsia="微软雅黑"/>
        </w:rPr>
        <w:t>- 毛利率：58.1%</w:t>
      </w:r>
    </w:p>
    <w:p>
      <w:pPr>
        <w:pStyle w:val="ListBullet"/>
      </w:pPr>
      <w:r>
        <w:rPr>
          <w:rFonts w:ascii="Arial" w:hAnsi="Arial" w:eastAsia="微软雅黑"/>
        </w:rPr>
        <w:t>- 应收账款增长率：44.0%</w:t>
      </w:r>
    </w:p>
    <w:p>
      <w:pPr>
        <w:pStyle w:val="Heading1"/>
      </w:pPr>
      <w:r>
        <w:rPr>
          <w:rFonts w:ascii="Arial" w:hAnsi="Arial" w:eastAsia="微软雅黑"/>
        </w:rPr>
        <w:t>三、核心财务线索</w:t>
      </w:r>
    </w:p>
    <w:p>
      <w:pPr>
        <w:pStyle w:val="ListBullet"/>
      </w:pPr>
      <w:r>
        <w:rPr>
          <w:rFonts w:ascii="Arial" w:hAnsi="Arial" w:eastAsia="微软雅黑"/>
        </w:rPr>
        <w:t>- 营业收入高增长但经营现金流下降</w:t>
      </w:r>
    </w:p>
    <w:p>
      <w:pPr>
        <w:pStyle w:val="ListBullet"/>
      </w:pPr>
      <w:r>
        <w:rPr>
          <w:rFonts w:ascii="Arial" w:hAnsi="Arial" w:eastAsia="微软雅黑"/>
        </w:rPr>
        <w:t>- 毛利率显著高于同行均值</w:t>
      </w:r>
    </w:p>
    <w:p>
      <w:pPr>
        <w:pStyle w:val="ListBullet"/>
      </w:pPr>
      <w:r>
        <w:rPr>
          <w:rFonts w:ascii="Arial" w:hAnsi="Arial" w:eastAsia="微软雅黑"/>
        </w:rPr>
        <w:t>- 期末应收账款余额增长较快</w:t>
      </w:r>
    </w:p>
    <w:p>
      <w:pPr>
        <w:pStyle w:val="Heading1"/>
      </w:pPr>
      <w:r>
        <w:rPr>
          <w:rFonts w:ascii="Arial" w:hAnsi="Arial" w:eastAsia="微软雅黑"/>
        </w:rPr>
        <w:t>四、关联方穿透结果</w:t>
      </w:r>
    </w:p>
    <w:p>
      <w:pPr>
        <w:pStyle w:val="ListBullet"/>
      </w:pPr>
      <w:r>
        <w:rPr>
          <w:rFonts w:ascii="Arial" w:hAnsi="Arial" w:eastAsia="微软雅黑"/>
        </w:rPr>
        <w:t>- 暂未发现可疑关联方。</w:t>
      </w:r>
    </w:p>
    <w:p>
      <w:pPr>
        <w:pStyle w:val="Heading1"/>
      </w:pPr>
      <w:r>
        <w:rPr>
          <w:rFonts w:ascii="Arial" w:hAnsi="Arial" w:eastAsia="微软雅黑"/>
        </w:rPr>
        <w:t>五、整改建议与复核计划</w:t>
      </w:r>
    </w:p>
    <w:p>
      <w:pPr>
        <w:pStyle w:val="ListBullet"/>
      </w:pPr>
      <w:r>
        <w:rPr>
          <w:rFonts w:ascii="Arial" w:hAnsi="Arial" w:eastAsia="微软雅黑"/>
        </w:rPr>
        <w:t>1. 对收入确认执行截止性测试，抽查期末大额合同、验收单、发票和回款记录。</w:t>
      </w:r>
    </w:p>
    <w:p>
      <w:pPr>
        <w:pStyle w:val="ListBullet"/>
      </w:pPr>
      <w:r>
        <w:rPr>
          <w:rFonts w:ascii="Arial" w:hAnsi="Arial" w:eastAsia="微软雅黑"/>
        </w:rPr>
        <w:t>2. 对潜在关联方执行股权穿透、资金流水复核和高管交叉任职核查。</w:t>
      </w:r>
    </w:p>
    <w:p>
      <w:pPr>
        <w:pStyle w:val="ListBullet"/>
      </w:pPr>
      <w:r>
        <w:rPr>
          <w:rFonts w:ascii="Arial" w:hAnsi="Arial" w:eastAsia="微软雅黑"/>
        </w:rPr>
        <w:t>3. 对毛利率异常和成本结转执行分析性复核，补充检查成本计算单和出入库记录。</w:t>
      </w:r>
    </w:p>
    <w:p>
      <w:pPr>
        <w:pStyle w:val="ListBullet"/>
      </w:pPr>
      <w:r>
        <w:rPr>
          <w:rFonts w:ascii="Arial" w:hAnsi="Arial" w:eastAsia="微软雅黑"/>
        </w:rPr>
        <w:t>4. 对内控缺陷线索开展流程穿行测试，确认审批、验收、对账和复核证据是否完整。</w:t>
      </w:r>
    </w:p>
    <w:p>
      <w:pPr>
        <w:pStyle w:val="Heading1"/>
      </w:pPr>
      <w:r>
        <w:rPr>
          <w:rFonts w:ascii="Arial" w:hAnsi="Arial" w:eastAsia="微软雅黑"/>
        </w:rPr>
        <w:t>六、审计风险明细</w:t>
      </w:r>
    </w:p>
    <w:p>
      <w:pPr>
        <w:pStyle w:val="Heading2"/>
      </w:pPr>
      <w:r>
        <w:rPr>
          <w:rFonts w:ascii="Arial" w:hAnsi="Arial" w:eastAsia="微软雅黑"/>
        </w:rPr>
        <w:t>1. 虚增收入（高风险）</w:t>
      </w:r>
    </w:p>
    <w:p>
      <w:pPr>
        <w:pStyle w:val="ListBullet"/>
      </w:pPr>
      <w:r>
        <w:rPr>
          <w:rFonts w:ascii="Arial" w:hAnsi="Arial" w:eastAsia="微软雅黑"/>
        </w:rPr>
        <w:t>- 风险依据：收入增长率显著高于经营现金流增长率，且应收账款同步快速上升。</w:t>
      </w:r>
    </w:p>
    <w:p>
      <w:pPr>
        <w:pStyle w:val="ListBullet"/>
      </w:pPr>
      <w:r>
        <w:rPr>
          <w:rFonts w:ascii="Arial" w:hAnsi="Arial" w:eastAsia="微软雅黑"/>
        </w:rPr>
        <w:t>- 审计准则/关注点：审计人员应关注收入确认是否满足合同履约义务、验收证据、客户回款和截止性要求。若收入增长与经营现金流、应收账款变动明显背离，应执行进一步复核程序。</w:t>
      </w:r>
    </w:p>
    <w:p>
      <w:pPr>
        <w:pStyle w:val="ListBullet"/>
      </w:pPr>
      <w:r>
        <w:rPr>
          <w:rFonts w:ascii="Arial" w:hAnsi="Arial" w:eastAsia="微软雅黑"/>
        </w:rPr>
        <w:t>- 整改建议：抽查期末大额合同、验收单、发票和回款记录，重点复核跨期收入。</w:t>
      </w:r>
    </w:p>
    <w:p>
      <w:pPr>
        <w:pStyle w:val="Heading2"/>
      </w:pPr>
      <w:r>
        <w:rPr>
          <w:rFonts w:ascii="Arial" w:hAnsi="Arial" w:eastAsia="微软雅黑"/>
        </w:rPr>
        <w:t>2. 内控缺陷（中风险）</w:t>
      </w:r>
    </w:p>
    <w:p>
      <w:pPr>
        <w:pStyle w:val="ListBullet"/>
      </w:pPr>
      <w:r>
        <w:rPr>
          <w:rFonts w:ascii="Arial" w:hAnsi="Arial" w:eastAsia="微软雅黑"/>
        </w:rPr>
        <w:t>- 风险依据：收入、应收和关联方线索同时异常，提示审批和复核控制可能不足。</w:t>
      </w:r>
    </w:p>
    <w:p>
      <w:pPr>
        <w:pStyle w:val="ListBullet"/>
      </w:pPr>
      <w:r>
        <w:rPr>
          <w:rFonts w:ascii="Arial" w:hAnsi="Arial" w:eastAsia="微软雅黑"/>
        </w:rPr>
        <w:t>- 审计准则/关注点：关键业务流程应形成审批、验收、对账、复核和授权记录。若收入、采购、付款或往来款流程缺少关键控制证据，应评估内控缺陷及其对财务报表的影响。</w:t>
      </w:r>
    </w:p>
    <w:p>
      <w:pPr>
        <w:pStyle w:val="ListBullet"/>
      </w:pPr>
      <w:r>
        <w:rPr>
          <w:rFonts w:ascii="Arial" w:hAnsi="Arial" w:eastAsia="微软雅黑"/>
        </w:rPr>
        <w:t>- 整改建议：复核销售审批、客户信用评估和期后回款监控流程。</w:t>
      </w:r>
    </w:p>
    <w:p>
      <w:pPr>
        <w:pStyle w:val="Heading2"/>
      </w:pPr>
      <w:r>
        <w:rPr>
          <w:rFonts w:ascii="Arial" w:hAnsi="Arial" w:eastAsia="微软雅黑"/>
        </w:rPr>
        <w:t>3. 成本结转异常（中风险）</w:t>
      </w:r>
    </w:p>
    <w:p>
      <w:pPr>
        <w:pStyle w:val="ListBullet"/>
      </w:pPr>
      <w:r>
        <w:rPr>
          <w:rFonts w:ascii="Arial" w:hAnsi="Arial" w:eastAsia="微软雅黑"/>
        </w:rPr>
        <w:t>- 风险依据：毛利率高于常规制造业水平，需要核查成本结转完整性。</w:t>
      </w:r>
    </w:p>
    <w:p>
      <w:pPr>
        <w:pStyle w:val="ListBullet"/>
      </w:pPr>
      <w:r>
        <w:rPr>
          <w:rFonts w:ascii="Arial" w:hAnsi="Arial" w:eastAsia="微软雅黑"/>
        </w:rPr>
        <w:t>- 审计准则/关注点：审计人员应关注成本结转是否与收入配比，存货计价、发出、减值和成本分摊规则是否一致。毛利率异常波动时，应检查成本计算单和出入库记录。</w:t>
      </w:r>
    </w:p>
    <w:p>
      <w:pPr>
        <w:pStyle w:val="ListBullet"/>
      </w:pPr>
      <w:r>
        <w:rPr>
          <w:rFonts w:ascii="Arial" w:hAnsi="Arial" w:eastAsia="微软雅黑"/>
        </w:rPr>
        <w:t>- 整改建议：抽查成本计算单、出入库记录和成本分摊规则。</w:t>
      </w:r>
    </w:p>
    <w:p>
      <w:pPr>
        <w:pStyle w:val="Heading1"/>
      </w:pPr>
      <w:r>
        <w:rPr>
          <w:rFonts w:ascii="Arial" w:hAnsi="Arial" w:eastAsia="微软雅黑"/>
        </w:rPr>
        <w:t>七、自动化记录 Payload 摘要</w:t>
      </w:r>
    </w:p>
    <w:p>
      <w:r>
        <w:rPr>
          <w:rFonts w:ascii="Arial" w:hAnsi="Arial" w:eastAsia="微软雅黑"/>
        </w:rPr>
        <w:t>{</w:t>
      </w:r>
    </w:p>
    <w:p>
      <w:r>
        <w:rPr>
          <w:rFonts w:ascii="Arial" w:hAnsi="Arial" w:eastAsia="微软雅黑"/>
        </w:rPr>
        <w:t xml:space="preserve">  "company_name": "测试科技有限公司",</w:t>
      </w:r>
    </w:p>
    <w:p>
      <w:r>
        <w:rPr>
          <w:rFonts w:ascii="Arial" w:hAnsi="Arial" w:eastAsia="微软雅黑"/>
        </w:rPr>
        <w:t xml:space="preserve">  "reporting_year": 2024,</w:t>
      </w:r>
    </w:p>
    <w:p>
      <w:r>
        <w:rPr>
          <w:rFonts w:ascii="Arial" w:hAnsi="Arial" w:eastAsia="微软雅黑"/>
        </w:rPr>
        <w:t xml:space="preserve">  "risk_count": 3,</w:t>
      </w:r>
    </w:p>
    <w:p>
      <w:r>
        <w:rPr>
          <w:rFonts w:ascii="Arial" w:hAnsi="Arial" w:eastAsia="微软雅黑"/>
        </w:rPr>
        <w:t xml:space="preserve">  "high_risk_count": 1,</w:t>
      </w:r>
    </w:p>
    <w:p>
      <w:r>
        <w:rPr>
          <w:rFonts w:ascii="Arial" w:hAnsi="Arial" w:eastAsia="微软雅黑"/>
        </w:rPr>
        <w:t xml:space="preserve">  "automation_mode": "dry-run 或真实 N8N webhook"</w:t>
      </w:r>
    </w:p>
    <w:p>
      <w:r>
        <w:rPr>
          <w:rFonts w:ascii="Arial" w:hAnsi="Arial" w:eastAsia="微软雅黑"/>
        </w:rPr>
        <w:t>}</w:t>
      </w:r>
    </w:p>
    <w:p>
      <w:pPr>
        <w:pStyle w:val="Heading1"/>
      </w:pPr>
      <w:r>
        <w:rPr>
          <w:rFonts w:ascii="Arial" w:hAnsi="Arial" w:eastAsia="微软雅黑"/>
        </w:rPr>
        <w:t>八、综合结论</w:t>
      </w:r>
    </w:p>
    <w:p>
      <w:r>
        <w:rPr>
          <w:rFonts w:ascii="Arial" w:hAnsi="Arial" w:eastAsia="微软雅黑"/>
        </w:rPr>
        <w:t>系统建议将 测试科技有限公司 列为高优先级复核对象。当前 MVP 已经形成“材料输入、图谱线索、向量数据库 RAG 依据、风险判断、自动化 payload、报告输出”的端到端闭环；真实生产环境中仍需接入完整 PDF 解析、真实 Neo4j、生产级向量数据库、N8N 和飞书鉴权。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