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before="133" w:line="214" w:lineRule="auto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题目编号</w:t>
      </w:r>
      <w:r>
        <w:rPr>
          <w:rFonts w:ascii="Microsoft YaHei" w:hAnsi="Microsoft YaHei" w:eastAsia="Microsoft YaHei" w:cs="Microsoft YaHei"/>
          <w:sz w:val="31"/>
          <w:szCs w:val="3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：</w:t>
      </w:r>
      <w:r>
        <w:rPr>
          <w:rFonts w:ascii="Times New Roman" w:hAnsi="Times New Roman" w:eastAsia="Times New Roman" w:cs="Times New Roman"/>
          <w:sz w:val="31"/>
          <w:szCs w:val="31"/>
        </w:rPr>
        <w:t>XH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-202603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539" w:right="187" w:hanging="3303"/>
        <w:spacing w:before="140" w:line="275" w:lineRule="auto"/>
        <w:outlineLvl w:val="0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2"/>
        </w:rPr>
        <w:t>面向太空智算的多模态遥感大模型应用探索</w:t>
      </w:r>
      <w:r>
        <w:rPr>
          <w:rFonts w:ascii="SimSun" w:hAnsi="SimSun" w:eastAsia="SimSun" w:cs="SimSun"/>
          <w:sz w:val="43"/>
          <w:szCs w:val="43"/>
          <w:b/>
          <w:bCs/>
          <w:spacing w:val="-9"/>
        </w:rPr>
        <w:t>比赛方案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658"/>
        <w:spacing w:before="101" w:line="414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  <w:position w:val="1"/>
        </w:rPr>
        <w:t>一、发榜单位</w:t>
      </w:r>
    </w:p>
    <w:p>
      <w:pPr>
        <w:pStyle w:val="BodyText"/>
        <w:ind w:left="699"/>
        <w:spacing w:before="158" w:line="410" w:lineRule="exact"/>
        <w:rPr/>
      </w:pPr>
      <w:r>
        <w:rPr>
          <w:spacing w:val="7"/>
          <w:position w:val="1"/>
        </w:rPr>
        <w:t>中国航天科技集团有限公司五院钱学森空间技术实验室</w:t>
      </w:r>
    </w:p>
    <w:p>
      <w:pPr>
        <w:ind w:left="657"/>
        <w:spacing w:before="139" w:line="414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  <w:position w:val="1"/>
        </w:rPr>
        <w:t>二、题目名称</w:t>
      </w:r>
    </w:p>
    <w:p>
      <w:pPr>
        <w:pStyle w:val="BodyText"/>
        <w:ind w:left="669"/>
        <w:spacing w:before="156" w:line="410" w:lineRule="exact"/>
        <w:rPr/>
      </w:pPr>
      <w:r>
        <w:rPr>
          <w:spacing w:val="8"/>
          <w:position w:val="1"/>
        </w:rPr>
        <w:t>面向太空智算的多模态遥感大模型应用探索</w:t>
      </w:r>
    </w:p>
    <w:p>
      <w:pPr>
        <w:ind w:left="661"/>
        <w:spacing w:before="139"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  <w:position w:val="1"/>
        </w:rPr>
        <w:t>三、题目介绍</w:t>
      </w:r>
    </w:p>
    <w:p>
      <w:pPr>
        <w:ind w:left="629"/>
        <w:spacing w:before="137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（一）选题背景</w:t>
      </w:r>
    </w:p>
    <w:p>
      <w:pPr>
        <w:pStyle w:val="BodyText"/>
        <w:ind w:left="9" w:firstLine="649"/>
        <w:spacing w:before="120" w:line="333" w:lineRule="auto"/>
        <w:jc w:val="both"/>
        <w:rPr/>
      </w:pPr>
      <w:r>
        <w:rPr>
          <w:spacing w:val="4"/>
        </w:rPr>
        <w:t>太空智算（在太空中部署高性能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4"/>
        </w:rPr>
        <w:t>计算能力）深度融合航</w:t>
      </w:r>
      <w:r>
        <w:rPr>
          <w:spacing w:val="10"/>
        </w:rPr>
        <w:t>天、能源、计算机与人工智能等前沿领域，</w:t>
      </w:r>
      <w:r>
        <w:rPr>
          <w:spacing w:val="-71"/>
        </w:rPr>
        <w:t xml:space="preserve"> </w:t>
      </w:r>
      <w:r>
        <w:rPr>
          <w:spacing w:val="10"/>
        </w:rPr>
        <w:t>旨</w:t>
      </w:r>
      <w:r>
        <w:rPr>
          <w:spacing w:val="9"/>
        </w:rPr>
        <w:t>在充分发挥太空</w:t>
      </w:r>
      <w:r>
        <w:rPr>
          <w:spacing w:val="8"/>
        </w:rPr>
        <w:t>优势以实现</w:t>
      </w:r>
      <w:r>
        <w:rPr>
          <w:rFonts w:ascii="Times New Roman" w:hAnsi="Times New Roman" w:eastAsia="Times New Roman" w:cs="Times New Roman"/>
          <w:spacing w:val="8"/>
        </w:rPr>
        <w:t>“</w:t>
      </w:r>
      <w:r>
        <w:rPr>
          <w:rFonts w:ascii="Times New Roman" w:hAnsi="Times New Roman" w:eastAsia="Times New Roman" w:cs="Times New Roman"/>
          <w:spacing w:val="-45"/>
        </w:rPr>
        <w:t xml:space="preserve"> </w:t>
      </w:r>
      <w:r>
        <w:rPr>
          <w:spacing w:val="8"/>
        </w:rPr>
        <w:t>天数天算、地数天算</w:t>
      </w:r>
      <w:r>
        <w:rPr>
          <w:rFonts w:ascii="Times New Roman" w:hAnsi="Times New Roman" w:eastAsia="Times New Roman" w:cs="Times New Roman"/>
          <w:spacing w:val="8"/>
        </w:rPr>
        <w:t>”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8"/>
        </w:rPr>
        <w:t>，</w:t>
      </w:r>
      <w:r>
        <w:rPr>
          <w:spacing w:val="-84"/>
        </w:rPr>
        <w:t xml:space="preserve"> </w:t>
      </w:r>
      <w:r>
        <w:rPr>
          <w:spacing w:val="8"/>
        </w:rPr>
        <w:t>已经成为</w:t>
      </w:r>
      <w:r>
        <w:rPr>
          <w:spacing w:val="7"/>
        </w:rPr>
        <w:t>大国科技竞争以</w:t>
      </w:r>
      <w:r>
        <w:rPr>
          <w:spacing w:val="13"/>
        </w:rPr>
        <w:t>及商业航天发展的新赛道，正引领着新一轮科技革命</w:t>
      </w:r>
      <w:r>
        <w:rPr>
          <w:spacing w:val="12"/>
        </w:rPr>
        <w:t>与产业变</w:t>
      </w:r>
      <w:r>
        <w:rPr>
          <w:spacing w:val="2"/>
        </w:rPr>
        <w:t>革。</w:t>
      </w:r>
      <w:r>
        <w:rPr>
          <w:rFonts w:ascii="Times New Roman" w:hAnsi="Times New Roman" w:eastAsia="Times New Roman" w:cs="Times New Roman"/>
          <w:spacing w:val="2"/>
        </w:rPr>
        <w:t>2025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2"/>
        </w:rPr>
        <w:t>年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11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2"/>
        </w:rPr>
        <w:t>月，</w:t>
      </w:r>
      <w:r>
        <w:rPr>
          <w:rFonts w:ascii="Times New Roman" w:hAnsi="Times New Roman" w:eastAsia="Times New Roman" w:cs="Times New Roman"/>
        </w:rPr>
        <w:t>Starcloud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2"/>
        </w:rPr>
        <w:t>卫星成功搭载英伟达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H100 </w:t>
      </w:r>
      <w:r>
        <w:rPr>
          <w:rFonts w:ascii="Times New Roman" w:hAnsi="Times New Roman" w:eastAsia="Times New Roman" w:cs="Times New Roman"/>
        </w:rPr>
        <w:t>GPU</w:t>
      </w:r>
      <w:r>
        <w:rPr/>
        <w:t>入轨；</w:t>
      </w:r>
      <w:r>
        <w:rPr>
          <w:rFonts w:ascii="Times New Roman" w:hAnsi="Times New Roman" w:eastAsia="Times New Roman" w:cs="Times New Roman"/>
        </w:rPr>
        <w:t>2026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/>
        <w:t>年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/>
        <w:t>月，</w:t>
      </w:r>
      <w:r>
        <w:rPr>
          <w:rFonts w:ascii="Times New Roman" w:hAnsi="Times New Roman" w:eastAsia="Times New Roman" w:cs="Times New Roman"/>
        </w:rPr>
        <w:t>SpaceX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/>
        <w:t>完成</w:t>
      </w:r>
      <w:r>
        <w:rPr>
          <w:spacing w:val="-1"/>
        </w:rPr>
        <w:t>对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xAI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1"/>
        </w:rPr>
        <w:t>的整合，宣布启动大规</w:t>
      </w:r>
      <w:r>
        <w:rPr>
          <w:spacing w:val="10"/>
        </w:rPr>
        <w:t>模太空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10"/>
        </w:rPr>
        <w:t>数据中心建设；之江实验室牵头建设的</w:t>
      </w:r>
      <w:r>
        <w:rPr>
          <w:rFonts w:ascii="Times New Roman" w:hAnsi="Times New Roman" w:eastAsia="Times New Roman" w:cs="Times New Roman"/>
          <w:spacing w:val="10"/>
        </w:rPr>
        <w:t>“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10"/>
        </w:rPr>
        <w:t>三体计算星</w:t>
      </w:r>
      <w:r>
        <w:rPr>
          <w:spacing w:val="5"/>
        </w:rPr>
        <w:t>座</w:t>
      </w:r>
      <w:r>
        <w:rPr>
          <w:rFonts w:ascii="Times New Roman" w:hAnsi="Times New Roman" w:eastAsia="Times New Roman" w:cs="Times New Roman"/>
          <w:spacing w:val="5"/>
        </w:rPr>
        <w:t>”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5"/>
        </w:rPr>
        <w:t>，于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2025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5"/>
        </w:rPr>
        <w:t>年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5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5"/>
        </w:rPr>
        <w:t>月完成一箭十二星发射</w:t>
      </w:r>
      <w:r>
        <w:rPr>
          <w:spacing w:val="-92"/>
        </w:rPr>
        <w:t xml:space="preserve"> </w:t>
      </w:r>
      <w:r>
        <w:rPr>
          <w:spacing w:val="5"/>
        </w:rPr>
        <w:t>，完成太空高性能计</w:t>
      </w:r>
      <w:r>
        <w:rPr>
          <w:spacing w:val="5"/>
        </w:rPr>
        <w:t>算试验验证。</w:t>
      </w:r>
    </w:p>
    <w:p>
      <w:pPr>
        <w:pStyle w:val="BodyText"/>
        <w:ind w:left="8" w:right="2" w:firstLine="676"/>
        <w:spacing w:before="4" w:line="333" w:lineRule="auto"/>
        <w:jc w:val="both"/>
        <w:rPr/>
      </w:pPr>
      <w:r>
        <w:rPr>
          <w:spacing w:val="11"/>
        </w:rPr>
        <w:t>多模态大模型是本轮人工智能技术范式突破的核心引擎与</w:t>
      </w:r>
      <w:r>
        <w:rPr>
          <w:spacing w:val="-1"/>
        </w:rPr>
        <w:t>标志性载体，正从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1"/>
        </w:rPr>
        <w:t>能看会说</w:t>
      </w:r>
      <w:r>
        <w:rPr>
          <w:rFonts w:ascii="Times New Roman" w:hAnsi="Times New Roman" w:eastAsia="Times New Roman" w:cs="Times New Roman"/>
          <w:spacing w:val="-1"/>
        </w:rPr>
        <w:t>” </w:t>
      </w:r>
      <w:r>
        <w:rPr>
          <w:spacing w:val="-1"/>
        </w:rPr>
        <w:t>向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rFonts w:ascii="Times New Roman" w:hAnsi="Times New Roman" w:eastAsia="Times New Roman" w:cs="Times New Roman"/>
          <w:spacing w:val="-49"/>
        </w:rPr>
        <w:t xml:space="preserve"> </w:t>
      </w:r>
      <w:r>
        <w:rPr>
          <w:spacing w:val="-1"/>
        </w:rPr>
        <w:t>深度思考与创造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spacing w:val="-1"/>
        </w:rPr>
        <w:t>进</w:t>
      </w:r>
      <w:r>
        <w:rPr>
          <w:spacing w:val="-2"/>
        </w:rPr>
        <w:t>化。谷歌的</w:t>
      </w:r>
      <w:r>
        <w:rPr>
          <w:rFonts w:ascii="Times New Roman" w:hAnsi="Times New Roman" w:eastAsia="Times New Roman" w:cs="Times New Roman"/>
        </w:rPr>
        <w:t>Gemini</w:t>
      </w:r>
      <w:r>
        <w:rPr>
          <w:rFonts w:ascii="Times New Roman" w:hAnsi="Times New Roman" w:eastAsia="Times New Roman" w:cs="Times New Roman"/>
          <w:spacing w:val="4"/>
        </w:rPr>
        <w:t xml:space="preserve"> 3 </w:t>
      </w:r>
      <w:r>
        <w:rPr>
          <w:rFonts w:ascii="Times New Roman" w:hAnsi="Times New Roman" w:eastAsia="Times New Roman" w:cs="Times New Roman"/>
        </w:rPr>
        <w:t>Pro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4"/>
        </w:rPr>
        <w:t>凭借原生多模态架构，实现草图秒级生成网站、自</w:t>
      </w:r>
    </w:p>
    <w:p>
      <w:pPr>
        <w:spacing w:line="333" w:lineRule="auto"/>
        <w:sectPr>
          <w:footerReference w:type="default" r:id="rId1"/>
          <w:pgSz w:w="11906" w:h="16839"/>
          <w:pgMar w:top="1431" w:right="1586" w:bottom="1135" w:left="1588" w:header="0" w:footer="918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8" w:right="97" w:firstLine="12"/>
        <w:spacing w:before="101" w:line="333" w:lineRule="auto"/>
        <w:jc w:val="both"/>
        <w:rPr/>
      </w:pPr>
      <w:r>
        <w:rPr>
          <w:spacing w:val="2"/>
        </w:rPr>
        <w:t>动生成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3D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2"/>
        </w:rPr>
        <w:t>游戏等创新应用；千问多模态大模型致力于成为跨应</w:t>
      </w:r>
      <w:r>
        <w:rPr>
          <w:spacing w:val="12"/>
        </w:rPr>
        <w:t>用调度服务的智能体；豆包多模态大模型则在趣味性内容生成</w:t>
      </w:r>
      <w:r>
        <w:rPr>
          <w:spacing w:val="12"/>
        </w:rPr>
        <w:t>上大放异彩。在遥感垂直应用领域，多模态模型同样展现出巨</w:t>
      </w:r>
      <w:r>
        <w:rPr>
          <w:spacing w:val="12"/>
        </w:rPr>
        <w:t>大潜力，通过自然语言指令即可完成像素级的目标分割、语义</w:t>
      </w:r>
      <w:r>
        <w:rPr>
          <w:spacing w:val="12"/>
        </w:rPr>
        <w:t>级场景理解与变化检测，显著提升对复杂地物信息的智能解译</w:t>
      </w:r>
      <w:r>
        <w:rPr>
          <w:spacing w:val="6"/>
        </w:rPr>
        <w:t>能力与泛化适应性。</w:t>
      </w:r>
    </w:p>
    <w:p>
      <w:pPr>
        <w:pStyle w:val="BodyText"/>
        <w:ind w:left="3" w:right="100" w:firstLine="642"/>
        <w:spacing w:before="9" w:line="331" w:lineRule="auto"/>
        <w:jc w:val="both"/>
        <w:rPr/>
      </w:pPr>
      <w:r>
        <w:rPr>
          <w:spacing w:val="13"/>
        </w:rPr>
        <w:t>本题目聚焦太空智算背景下，探索多模态遥感大</w:t>
      </w:r>
      <w:r>
        <w:rPr>
          <w:spacing w:val="12"/>
        </w:rPr>
        <w:t>模型如何</w:t>
      </w:r>
      <w:r>
        <w:rPr>
          <w:spacing w:val="13"/>
        </w:rPr>
        <w:t>在卫星平台进行部署应用，依托其强大的跨</w:t>
      </w:r>
      <w:r>
        <w:rPr>
          <w:spacing w:val="12"/>
        </w:rPr>
        <w:t>模态语义理解、零</w:t>
      </w:r>
      <w:r>
        <w:rPr>
          <w:spacing w:val="9"/>
        </w:rPr>
        <w:t>样本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小样本迁移能力，解决当前卫星在轨图像处理面临的样本</w:t>
      </w:r>
      <w:r>
        <w:rPr>
          <w:spacing w:val="13"/>
        </w:rPr>
        <w:t>依赖强、泛化能力差、任务类型单一且固定</w:t>
      </w:r>
      <w:r>
        <w:rPr>
          <w:spacing w:val="12"/>
        </w:rPr>
        <w:t>等问题，为应急救</w:t>
      </w:r>
      <w:r>
        <w:rPr>
          <w:spacing w:val="13"/>
        </w:rPr>
        <w:t>灾、国防安全、生态监测等高时效性卫星信</w:t>
      </w:r>
      <w:r>
        <w:rPr>
          <w:spacing w:val="12"/>
        </w:rPr>
        <w:t>息服务需求提供全</w:t>
      </w:r>
      <w:r>
        <w:rPr>
          <w:spacing w:val="5"/>
        </w:rPr>
        <w:t>新解决方案。</w:t>
      </w:r>
    </w:p>
    <w:p>
      <w:pPr>
        <w:ind w:left="619"/>
        <w:spacing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（二）题目概述</w:t>
      </w:r>
    </w:p>
    <w:p>
      <w:pPr>
        <w:pStyle w:val="BodyText"/>
        <w:ind w:firstLine="645"/>
        <w:spacing w:before="116" w:line="333" w:lineRule="auto"/>
        <w:jc w:val="both"/>
        <w:rPr/>
      </w:pPr>
      <w:r>
        <w:rPr>
          <w:spacing w:val="13"/>
        </w:rPr>
        <w:t>本赛题要求参赛队伍设计一个面向卫星平台部署</w:t>
      </w:r>
      <w:r>
        <w:rPr>
          <w:spacing w:val="12"/>
        </w:rPr>
        <w:t>要求的多</w:t>
      </w:r>
      <w:r>
        <w:rPr>
          <w:spacing w:val="13"/>
        </w:rPr>
        <w:t>模态大模型解决方案。该解决方案可在给定卫星平台</w:t>
      </w:r>
      <w:r>
        <w:rPr>
          <w:spacing w:val="12"/>
        </w:rPr>
        <w:t>约束、少</w:t>
      </w:r>
      <w:r>
        <w:rPr>
          <w:spacing w:val="13"/>
        </w:rPr>
        <w:t>量遥感应用场景数据集的前提下，基于已有各类型开</w:t>
      </w:r>
      <w:r>
        <w:rPr>
          <w:spacing w:val="12"/>
        </w:rPr>
        <w:t>源多模态</w:t>
      </w:r>
      <w:r>
        <w:rPr>
          <w:spacing w:val="13"/>
        </w:rPr>
        <w:t>大模型开发一个多模态遥感大模型，具备卫星受限算</w:t>
      </w:r>
      <w:r>
        <w:rPr>
          <w:spacing w:val="12"/>
        </w:rPr>
        <w:t>力推理部</w:t>
      </w:r>
      <w:r>
        <w:rPr>
          <w:spacing w:val="14"/>
        </w:rPr>
        <w:t>署能力，仅通过自然语言指令即可处理复杂的遥感解译任务，</w:t>
      </w:r>
      <w:r>
        <w:rPr>
          <w:spacing w:val="10"/>
        </w:rPr>
        <w:t>例如</w:t>
      </w:r>
      <w:r>
        <w:rPr>
          <w:spacing w:val="-78"/>
        </w:rPr>
        <w:t xml:space="preserve"> </w:t>
      </w:r>
      <w:r>
        <w:rPr>
          <w:spacing w:val="10"/>
        </w:rPr>
        <w:t>：输入一张遥感图像，生成对应的遥感场景描述；用户输</w:t>
      </w:r>
      <w:r>
        <w:rPr>
          <w:spacing w:val="5"/>
        </w:rPr>
        <w:t>入自然语言指令与对应图像，模型根据用户指令给出相应</w:t>
      </w:r>
      <w:r>
        <w:rPr>
          <w:spacing w:val="4"/>
        </w:rPr>
        <w:t>回答，</w:t>
      </w:r>
      <w:r>
        <w:rPr>
          <w:spacing w:val="3"/>
        </w:rPr>
        <w:t>例如</w:t>
      </w:r>
      <w:r>
        <w:rPr>
          <w:rFonts w:ascii="Times New Roman" w:hAnsi="Times New Roman" w:eastAsia="Times New Roman" w:cs="Times New Roman"/>
          <w:spacing w:val="3"/>
        </w:rPr>
        <w:t>“</w:t>
      </w:r>
      <w:r>
        <w:rPr>
          <w:rFonts w:ascii="Times New Roman" w:hAnsi="Times New Roman" w:eastAsia="Times New Roman" w:cs="Times New Roman"/>
          <w:spacing w:val="-46"/>
        </w:rPr>
        <w:t xml:space="preserve"> </w:t>
      </w:r>
      <w:r>
        <w:rPr>
          <w:spacing w:val="3"/>
        </w:rPr>
        <w:t>找到所有红色的油罐车</w:t>
      </w:r>
      <w:r>
        <w:rPr>
          <w:rFonts w:ascii="Times New Roman" w:hAnsi="Times New Roman" w:eastAsia="Times New Roman" w:cs="Times New Roman"/>
          <w:spacing w:val="3"/>
        </w:rPr>
        <w:t>”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3"/>
        </w:rPr>
        <w:t>、</w:t>
      </w:r>
      <w:r>
        <w:rPr>
          <w:rFonts w:ascii="Times New Roman" w:hAnsi="Times New Roman" w:eastAsia="Times New Roman" w:cs="Times New Roman"/>
          <w:spacing w:val="3"/>
        </w:rPr>
        <w:t>“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3"/>
        </w:rPr>
        <w:t>图像中一共有多少艘船</w:t>
      </w:r>
      <w:r>
        <w:rPr>
          <w:rFonts w:ascii="Times New Roman" w:hAnsi="Times New Roman" w:eastAsia="Times New Roman" w:cs="Times New Roman"/>
          <w:spacing w:val="3"/>
        </w:rPr>
        <w:t>”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3"/>
        </w:rPr>
        <w:t>、</w:t>
      </w:r>
      <w:r>
        <w:rPr>
          <w:rFonts w:ascii="Times New Roman" w:hAnsi="Times New Roman" w:eastAsia="Times New Roman" w:cs="Times New Roman"/>
          <w:spacing w:val="3"/>
        </w:rPr>
        <w:t>“</w:t>
      </w:r>
      <w:r>
        <w:rPr>
          <w:rFonts w:ascii="Times New Roman" w:hAnsi="Times New Roman" w:eastAsia="Times New Roman" w:cs="Times New Roman"/>
          <w:spacing w:val="-58"/>
        </w:rPr>
        <w:t xml:space="preserve"> </w:t>
      </w:r>
      <w:r>
        <w:rPr>
          <w:spacing w:val="3"/>
        </w:rPr>
        <w:t>根</w:t>
      </w:r>
      <w:r>
        <w:rPr>
          <w:spacing w:val="6"/>
        </w:rPr>
        <w:t>据当前图像判断洪水是否正在消退</w:t>
      </w:r>
      <w:r>
        <w:rPr>
          <w:rFonts w:ascii="Times New Roman" w:hAnsi="Times New Roman" w:eastAsia="Times New Roman" w:cs="Times New Roman"/>
          <w:spacing w:val="6"/>
        </w:rPr>
        <w:t>”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6"/>
        </w:rPr>
        <w:t>等。</w:t>
      </w:r>
    </w:p>
    <w:p>
      <w:pPr>
        <w:spacing w:line="333" w:lineRule="auto"/>
        <w:sectPr>
          <w:footerReference w:type="default" r:id="rId2"/>
          <w:pgSz w:w="11906" w:h="16839"/>
          <w:pgMar w:top="1431" w:right="1488" w:bottom="1135" w:left="1598" w:header="0" w:footer="918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2" w:right="54" w:firstLine="659"/>
        <w:spacing w:before="101" w:line="332" w:lineRule="auto"/>
        <w:jc w:val="both"/>
        <w:rPr/>
      </w:pPr>
      <w:r>
        <w:rPr>
          <w:spacing w:val="12"/>
        </w:rPr>
        <w:t>面对复杂的空间环境因素，参赛队伍可以从单粒子翻转对</w:t>
      </w:r>
      <w:r>
        <w:rPr>
          <w:spacing w:val="13"/>
        </w:rPr>
        <w:t>模型推理结果的影响、错误校验、模型故障恢复等方</w:t>
      </w:r>
      <w:r>
        <w:rPr>
          <w:spacing w:val="12"/>
        </w:rPr>
        <w:t>面入手，</w:t>
      </w:r>
      <w:r>
        <w:rPr>
          <w:spacing w:val="13"/>
        </w:rPr>
        <w:t>设计具备容错能力的解决方案，以满足卫星在轨运行</w:t>
      </w:r>
      <w:r>
        <w:rPr>
          <w:spacing w:val="12"/>
        </w:rPr>
        <w:t>的可靠性</w:t>
      </w:r>
      <w:r>
        <w:rPr>
          <w:spacing w:val="1"/>
        </w:rPr>
        <w:t>要求。</w:t>
      </w:r>
    </w:p>
    <w:p>
      <w:pPr>
        <w:ind w:left="677"/>
        <w:spacing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"/>
          <w:position w:val="1"/>
        </w:rPr>
        <w:t>四、参赛对象</w:t>
      </w:r>
    </w:p>
    <w:p>
      <w:pPr>
        <w:pStyle w:val="BodyText"/>
        <w:ind w:left="27" w:firstLine="649"/>
        <w:spacing w:before="157" w:line="332" w:lineRule="auto"/>
        <w:jc w:val="both"/>
        <w:rPr/>
      </w:pPr>
      <w:r>
        <w:rPr>
          <w:spacing w:val="-1"/>
        </w:rPr>
        <w:t>学生赛道：</w:t>
      </w:r>
      <w:r>
        <w:rPr>
          <w:rFonts w:ascii="Times New Roman" w:hAnsi="Times New Roman" w:eastAsia="Times New Roman" w:cs="Times New Roman"/>
          <w:spacing w:val="-1"/>
        </w:rPr>
        <w:t>2026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"/>
        </w:rPr>
        <w:t>年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1"/>
        </w:rPr>
        <w:t>月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 </w:t>
      </w:r>
      <w:r>
        <w:rPr>
          <w:spacing w:val="-1"/>
        </w:rPr>
        <w:t>日</w:t>
      </w:r>
      <w:r>
        <w:rPr>
          <w:spacing w:val="-78"/>
        </w:rPr>
        <w:t xml:space="preserve"> </w:t>
      </w:r>
      <w:r>
        <w:rPr>
          <w:spacing w:val="-1"/>
        </w:rPr>
        <w:t>以前正</w:t>
      </w:r>
      <w:r>
        <w:rPr>
          <w:spacing w:val="-2"/>
        </w:rPr>
        <w:t>式注册的国</w:t>
      </w:r>
      <w:r>
        <w:rPr>
          <w:spacing w:val="-70"/>
        </w:rPr>
        <w:t xml:space="preserve"> </w:t>
      </w:r>
      <w:r>
        <w:rPr>
          <w:spacing w:val="-2"/>
        </w:rPr>
        <w:t>内全</w:t>
      </w:r>
      <w:r>
        <w:rPr>
          <w:spacing w:val="-45"/>
        </w:rPr>
        <w:t xml:space="preserve"> </w:t>
      </w:r>
      <w:r>
        <w:rPr>
          <w:spacing w:val="-2"/>
        </w:rPr>
        <w:t>日制</w:t>
      </w:r>
      <w:r>
        <w:rPr>
          <w:spacing w:val="24"/>
        </w:rPr>
        <w:t>非成人教育的普通高等学校在校专科生、本科生、硕士和博</w:t>
      </w:r>
      <w:r>
        <w:rPr>
          <w:spacing w:val="15"/>
        </w:rPr>
        <w:t>士研究生（</w:t>
      </w:r>
      <w:r>
        <w:rPr>
          <w:spacing w:val="-66"/>
        </w:rPr>
        <w:t xml:space="preserve"> </w:t>
      </w:r>
      <w:r>
        <w:rPr>
          <w:spacing w:val="15"/>
        </w:rPr>
        <w:t>不含在职研究生</w:t>
      </w:r>
      <w:r>
        <w:rPr>
          <w:spacing w:val="-91"/>
        </w:rPr>
        <w:t xml:space="preserve"> </w:t>
      </w:r>
      <w:r>
        <w:rPr>
          <w:spacing w:val="1"/>
        </w:rPr>
        <w:t>），</w:t>
      </w:r>
      <w:r>
        <w:rPr>
          <w:spacing w:val="-84"/>
        </w:rPr>
        <w:t xml:space="preserve"> </w:t>
      </w:r>
      <w:r>
        <w:rPr>
          <w:spacing w:val="15"/>
        </w:rPr>
        <w:t>以及全</w:t>
      </w:r>
      <w:r>
        <w:rPr>
          <w:spacing w:val="-45"/>
        </w:rPr>
        <w:t xml:space="preserve"> </w:t>
      </w:r>
      <w:r>
        <w:rPr>
          <w:spacing w:val="15"/>
        </w:rPr>
        <w:t>日制职业教育本科、</w:t>
      </w:r>
      <w:r>
        <w:rPr>
          <w:spacing w:val="23"/>
        </w:rPr>
        <w:t>高职高专在校学生</w:t>
      </w:r>
      <w:r>
        <w:rPr>
          <w:spacing w:val="-74"/>
        </w:rPr>
        <w:t xml:space="preserve"> </w:t>
      </w:r>
      <w:r>
        <w:rPr>
          <w:spacing w:val="23"/>
        </w:rPr>
        <w:t>，可通过学生赛道申报作品参赛。</w:t>
      </w:r>
    </w:p>
    <w:p>
      <w:pPr>
        <w:pStyle w:val="BodyText"/>
        <w:ind w:left="14" w:right="73" w:firstLine="687"/>
        <w:spacing w:before="8" w:line="332" w:lineRule="auto"/>
        <w:jc w:val="both"/>
        <w:rPr/>
      </w:pPr>
      <w:r>
        <w:rPr>
          <w:spacing w:val="23"/>
        </w:rPr>
        <w:t>参赛对象可</w:t>
      </w:r>
      <w:r>
        <w:rPr>
          <w:spacing w:val="-61"/>
        </w:rPr>
        <w:t xml:space="preserve"> </w:t>
      </w:r>
      <w:r>
        <w:rPr>
          <w:spacing w:val="23"/>
        </w:rPr>
        <w:t>以</w:t>
      </w:r>
      <w:r>
        <w:rPr>
          <w:spacing w:val="-67"/>
        </w:rPr>
        <w:t xml:space="preserve"> </w:t>
      </w:r>
      <w:r>
        <w:rPr>
          <w:spacing w:val="23"/>
        </w:rPr>
        <w:t>团</w:t>
      </w:r>
      <w:r>
        <w:rPr>
          <w:spacing w:val="-76"/>
        </w:rPr>
        <w:t xml:space="preserve"> </w:t>
      </w:r>
      <w:r>
        <w:rPr>
          <w:spacing w:val="23"/>
        </w:rPr>
        <w:t>队或个人形式参赛</w:t>
      </w:r>
      <w:r>
        <w:rPr>
          <w:spacing w:val="-67"/>
        </w:rPr>
        <w:t xml:space="preserve"> </w:t>
      </w:r>
      <w:r>
        <w:rPr>
          <w:spacing w:val="23"/>
        </w:rPr>
        <w:t>，每个团队不超过</w:t>
      </w:r>
      <w:r>
        <w:rPr>
          <w:rFonts w:ascii="Times New Roman" w:hAnsi="Times New Roman" w:eastAsia="Times New Roman" w:cs="Times New Roman"/>
          <w:spacing w:val="19"/>
        </w:rPr>
        <w:t>10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19"/>
        </w:rPr>
        <w:t>人</w:t>
      </w:r>
      <w:r>
        <w:rPr>
          <w:spacing w:val="-72"/>
        </w:rPr>
        <w:t xml:space="preserve"> </w:t>
      </w:r>
      <w:r>
        <w:rPr>
          <w:spacing w:val="19"/>
        </w:rPr>
        <w:t>，每件作品可由不超过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3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19"/>
        </w:rPr>
        <w:t>名指导教师进行指导</w:t>
      </w:r>
      <w:r>
        <w:rPr>
          <w:spacing w:val="-91"/>
        </w:rPr>
        <w:t xml:space="preserve"> </w:t>
      </w:r>
      <w:r>
        <w:rPr>
          <w:spacing w:val="19"/>
        </w:rPr>
        <w:t>。可</w:t>
      </w:r>
      <w:r>
        <w:rPr>
          <w:spacing w:val="-74"/>
        </w:rPr>
        <w:t xml:space="preserve"> </w:t>
      </w:r>
      <w:r>
        <w:rPr>
          <w:spacing w:val="19"/>
        </w:rPr>
        <w:t>以</w:t>
      </w:r>
      <w:r>
        <w:rPr>
          <w:spacing w:val="21"/>
        </w:rPr>
        <w:t>跨专业、跨学校、跨地域组队</w:t>
      </w:r>
      <w:r>
        <w:rPr>
          <w:spacing w:val="-66"/>
        </w:rPr>
        <w:t xml:space="preserve"> </w:t>
      </w:r>
      <w:r>
        <w:rPr>
          <w:spacing w:val="21"/>
        </w:rPr>
        <w:t>，但同一团队所有成员均应符</w:t>
      </w:r>
      <w:r>
        <w:rPr>
          <w:spacing w:val="19"/>
        </w:rPr>
        <w:t>合本赛道相关年龄、身份要求。每件作品只可由</w:t>
      </w:r>
      <w:r>
        <w:rPr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1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19"/>
        </w:rPr>
        <w:t>所高等院</w:t>
      </w:r>
      <w:r>
        <w:rPr>
          <w:spacing w:val="26"/>
        </w:rPr>
        <w:t>校、科研院所等作为参赛主体提交申报。</w:t>
      </w:r>
    </w:p>
    <w:p>
      <w:pPr>
        <w:ind w:left="656"/>
        <w:spacing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五、答题要求</w:t>
      </w:r>
    </w:p>
    <w:p>
      <w:pPr>
        <w:ind w:left="631"/>
        <w:spacing w:before="136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（一）初赛阶段</w:t>
      </w:r>
    </w:p>
    <w:p>
      <w:pPr>
        <w:pStyle w:val="BodyText"/>
        <w:ind w:right="63" w:firstLine="697"/>
        <w:spacing w:before="119" w:line="333" w:lineRule="auto"/>
        <w:jc w:val="both"/>
        <w:rPr/>
      </w:pPr>
      <w:r>
        <w:rPr>
          <w:spacing w:val="34"/>
        </w:rPr>
        <w:t>初赛阶段参赛队伍基于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VRSBench</w:t>
      </w:r>
      <w:r>
        <w:rPr>
          <w:spacing w:val="34"/>
        </w:rPr>
        <w:t>（</w:t>
      </w:r>
      <w:r>
        <w:rPr>
          <w:spacing w:val="-89"/>
        </w:rPr>
        <w:t xml:space="preserve"> </w:t>
      </w:r>
      <w:hyperlink w:history="true" r:id="rId4">
        <w:r>
          <w:rPr>
            <w:rFonts w:ascii="Times New Roman" w:hAnsi="Times New Roman" w:eastAsia="Times New Roman" w:cs="Times New Roman"/>
          </w:rPr>
          <w:t>https</w:t>
        </w:r>
        <w:r>
          <w:rPr>
            <w:rFonts w:ascii="Times New Roman" w:hAnsi="Times New Roman" w:eastAsia="Times New Roman" w:cs="Times New Roman"/>
            <w:spacing w:val="34"/>
          </w:rPr>
          <w:t>://</w:t>
        </w:r>
        <w:r>
          <w:rPr>
            <w:rFonts w:ascii="Times New Roman" w:hAnsi="Times New Roman" w:eastAsia="Times New Roman" w:cs="Times New Roman"/>
          </w:rPr>
          <w:t>arxiv</w:t>
        </w:r>
        <w:r>
          <w:rPr>
            <w:rFonts w:ascii="Times New Roman" w:hAnsi="Times New Roman" w:eastAsia="Times New Roman" w:cs="Times New Roman"/>
            <w:spacing w:val="34"/>
          </w:rPr>
          <w:t>.</w:t>
        </w:r>
        <w:r>
          <w:rPr>
            <w:rFonts w:ascii="Times New Roman" w:hAnsi="Times New Roman" w:eastAsia="Times New Roman" w:cs="Times New Roman"/>
          </w:rPr>
          <w:t>org</w:t>
        </w:r>
        <w:r>
          <w:rPr>
            <w:rFonts w:ascii="Times New Roman" w:hAnsi="Times New Roman" w:eastAsia="Times New Roman" w:cs="Times New Roman"/>
            <w:spacing w:val="34"/>
          </w:rPr>
          <w:t>/</w:t>
        </w:r>
        <w:r>
          <w:rPr>
            <w:rFonts w:ascii="Times New Roman" w:hAnsi="Times New Roman" w:eastAsia="Times New Roman" w:cs="Times New Roman"/>
          </w:rPr>
          <w:t>abs</w:t>
        </w:r>
      </w:hyperlink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/2406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12384</w:t>
      </w:r>
      <w:r>
        <w:rPr>
          <w:spacing w:val="22"/>
        </w:rPr>
        <w:t>）、</w:t>
      </w:r>
      <w:r>
        <w:rPr>
          <w:rFonts w:ascii="Times New Roman" w:hAnsi="Times New Roman" w:eastAsia="Times New Roman" w:cs="Times New Roman"/>
        </w:rPr>
        <w:t>MME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rFonts w:ascii="Times New Roman" w:hAnsi="Times New Roman" w:eastAsia="Times New Roman" w:cs="Times New Roman"/>
        </w:rPr>
        <w:t>Real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rFonts w:ascii="Times New Roman" w:hAnsi="Times New Roman" w:eastAsia="Times New Roman" w:cs="Times New Roman"/>
        </w:rPr>
        <w:t>RS</w:t>
      </w:r>
      <w:r>
        <w:rPr>
          <w:spacing w:val="22"/>
        </w:rPr>
        <w:t>（</w:t>
      </w:r>
      <w:r>
        <w:rPr>
          <w:spacing w:val="-89"/>
        </w:rPr>
        <w:t xml:space="preserve"> </w:t>
      </w:r>
      <w:hyperlink w:history="true" r:id="rId5">
        <w:r>
          <w:rPr>
            <w:rFonts w:ascii="Times New Roman" w:hAnsi="Times New Roman" w:eastAsia="Times New Roman" w:cs="Times New Roman"/>
          </w:rPr>
          <w:t>https</w:t>
        </w:r>
        <w:r>
          <w:rPr>
            <w:rFonts w:ascii="Times New Roman" w:hAnsi="Times New Roman" w:eastAsia="Times New Roman" w:cs="Times New Roman"/>
            <w:spacing w:val="22"/>
          </w:rPr>
          <w:t>://</w:t>
        </w:r>
        <w:r>
          <w:rPr>
            <w:rFonts w:ascii="Times New Roman" w:hAnsi="Times New Roman" w:eastAsia="Times New Roman" w:cs="Times New Roman"/>
          </w:rPr>
          <w:t>arxiv</w:t>
        </w:r>
        <w:r>
          <w:rPr>
            <w:rFonts w:ascii="Times New Roman" w:hAnsi="Times New Roman" w:eastAsia="Times New Roman" w:cs="Times New Roman"/>
            <w:spacing w:val="22"/>
          </w:rPr>
          <w:t>.</w:t>
        </w:r>
        <w:r>
          <w:rPr>
            <w:rFonts w:ascii="Times New Roman" w:hAnsi="Times New Roman" w:eastAsia="Times New Roman" w:cs="Times New Roman"/>
          </w:rPr>
          <w:t>org</w:t>
        </w:r>
        <w:r>
          <w:rPr>
            <w:rFonts w:ascii="Times New Roman" w:hAnsi="Times New Roman" w:eastAsia="Times New Roman" w:cs="Times New Roman"/>
            <w:spacing w:val="22"/>
          </w:rPr>
          <w:t>/</w:t>
        </w:r>
        <w:r>
          <w:rPr>
            <w:rFonts w:ascii="Times New Roman" w:hAnsi="Times New Roman" w:eastAsia="Times New Roman" w:cs="Times New Roman"/>
          </w:rPr>
          <w:t>abs</w:t>
        </w:r>
        <w:r>
          <w:rPr>
            <w:rFonts w:ascii="Times New Roman" w:hAnsi="Times New Roman" w:eastAsia="Times New Roman" w:cs="Times New Roman"/>
            <w:spacing w:val="22"/>
          </w:rPr>
          <w:t>/</w:t>
        </w:r>
        <w:r>
          <w:rPr>
            <w:rFonts w:ascii="Times New Roman" w:hAnsi="Times New Roman" w:eastAsia="Times New Roman" w:cs="Times New Roman"/>
            <w:spacing w:val="21"/>
          </w:rPr>
          <w:t>2408.1</w:t>
        </w:r>
      </w:hyperlink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3257</w:t>
      </w:r>
      <w:r>
        <w:rPr>
          <w:spacing w:val="20"/>
        </w:rPr>
        <w:t>）、</w:t>
      </w:r>
      <w:r>
        <w:rPr>
          <w:rFonts w:ascii="Times New Roman" w:hAnsi="Times New Roman" w:eastAsia="Times New Roman" w:cs="Times New Roman"/>
        </w:rPr>
        <w:t>XLRS</w:t>
      </w:r>
      <w:r>
        <w:rPr>
          <w:rFonts w:ascii="Times New Roman" w:hAnsi="Times New Roman" w:eastAsia="Times New Roman" w:cs="Times New Roman"/>
          <w:spacing w:val="20"/>
        </w:rPr>
        <w:t>-</w:t>
      </w:r>
      <w:r>
        <w:rPr>
          <w:rFonts w:ascii="Times New Roman" w:hAnsi="Times New Roman" w:eastAsia="Times New Roman" w:cs="Times New Roman"/>
        </w:rPr>
        <w:t>bench</w:t>
      </w:r>
      <w:r>
        <w:rPr>
          <w:spacing w:val="20"/>
        </w:rPr>
        <w:t>（</w:t>
      </w:r>
      <w:r>
        <w:rPr>
          <w:spacing w:val="-75"/>
        </w:rPr>
        <w:t xml:space="preserve"> </w:t>
      </w:r>
      <w:hyperlink w:history="true" r:id="rId6">
        <w:r>
          <w:rPr>
            <w:rFonts w:ascii="Times New Roman" w:hAnsi="Times New Roman" w:eastAsia="Times New Roman" w:cs="Times New Roman"/>
          </w:rPr>
          <w:t>https</w:t>
        </w:r>
        <w:r>
          <w:rPr>
            <w:rFonts w:ascii="Times New Roman" w:hAnsi="Times New Roman" w:eastAsia="Times New Roman" w:cs="Times New Roman"/>
            <w:spacing w:val="20"/>
          </w:rPr>
          <w:t>://</w:t>
        </w:r>
        <w:r>
          <w:rPr>
            <w:rFonts w:ascii="Times New Roman" w:hAnsi="Times New Roman" w:eastAsia="Times New Roman" w:cs="Times New Roman"/>
          </w:rPr>
          <w:t>arxiv</w:t>
        </w:r>
        <w:r>
          <w:rPr>
            <w:rFonts w:ascii="Times New Roman" w:hAnsi="Times New Roman" w:eastAsia="Times New Roman" w:cs="Times New Roman"/>
            <w:spacing w:val="20"/>
          </w:rPr>
          <w:t>.</w:t>
        </w:r>
        <w:r>
          <w:rPr>
            <w:rFonts w:ascii="Times New Roman" w:hAnsi="Times New Roman" w:eastAsia="Times New Roman" w:cs="Times New Roman"/>
          </w:rPr>
          <w:t>org</w:t>
        </w:r>
        <w:r>
          <w:rPr>
            <w:rFonts w:ascii="Times New Roman" w:hAnsi="Times New Roman" w:eastAsia="Times New Roman" w:cs="Times New Roman"/>
            <w:spacing w:val="20"/>
          </w:rPr>
          <w:t>/</w:t>
        </w:r>
        <w:r>
          <w:rPr>
            <w:rFonts w:ascii="Times New Roman" w:hAnsi="Times New Roman" w:eastAsia="Times New Roman" w:cs="Times New Roman"/>
          </w:rPr>
          <w:t>abs</w:t>
        </w:r>
        <w:r>
          <w:rPr>
            <w:rFonts w:ascii="Times New Roman" w:hAnsi="Times New Roman" w:eastAsia="Times New Roman" w:cs="Times New Roman"/>
            <w:spacing w:val="20"/>
          </w:rPr>
          <w:t>/2503.23771</w:t>
        </w:r>
      </w:hyperlink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20"/>
        </w:rPr>
        <w:t>）、</w:t>
      </w:r>
      <w:r>
        <w:rPr>
          <w:rFonts w:ascii="Times New Roman" w:hAnsi="Times New Roman" w:eastAsia="Times New Roman" w:cs="Times New Roman"/>
          <w:spacing w:val="20"/>
        </w:rPr>
        <w:t>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EVIR-CC</w:t>
      </w:r>
      <w:r>
        <w:rPr>
          <w:spacing w:val="14"/>
        </w:rPr>
        <w:t>（</w:t>
      </w:r>
      <w:r>
        <w:rPr>
          <w:spacing w:val="-91"/>
        </w:rPr>
        <w:t xml:space="preserve"> </w:t>
      </w:r>
      <w:hyperlink w:history="true" r:id="rId7">
        <w:r>
          <w:rPr>
            <w:rFonts w:ascii="Times New Roman" w:hAnsi="Times New Roman" w:eastAsia="Times New Roman" w:cs="Times New Roman"/>
            <w:spacing w:val="14"/>
          </w:rPr>
          <w:t>https://github.com/</w:t>
        </w:r>
        <w:r>
          <w:rPr>
            <w:rFonts w:ascii="Times New Roman" w:hAnsi="Times New Roman" w:eastAsia="Times New Roman" w:cs="Times New Roman"/>
            <w:spacing w:val="13"/>
          </w:rPr>
          <w:t>Chen-Yang-Liu/LEVIR-CC-Dat</w:t>
        </w:r>
      </w:hyperlink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aset</w:t>
      </w:r>
      <w:r>
        <w:rPr>
          <w:spacing w:val="25"/>
        </w:rPr>
        <w:t>）</w:t>
      </w:r>
      <w:r>
        <w:rPr>
          <w:spacing w:val="-79"/>
        </w:rPr>
        <w:t xml:space="preserve"> </w:t>
      </w:r>
      <w:r>
        <w:rPr>
          <w:spacing w:val="25"/>
        </w:rPr>
        <w:t>等开源数据集进行验证</w:t>
      </w:r>
      <w:r>
        <w:rPr>
          <w:spacing w:val="-79"/>
        </w:rPr>
        <w:t xml:space="preserve"> </w:t>
      </w:r>
      <w:r>
        <w:rPr>
          <w:spacing w:val="25"/>
        </w:rPr>
        <w:t>，初赛阶段推理部署硬件平台</w:t>
      </w:r>
      <w:r>
        <w:rPr>
          <w:spacing w:val="13"/>
        </w:rPr>
        <w:t>不限。</w:t>
      </w:r>
    </w:p>
    <w:p>
      <w:pPr>
        <w:spacing w:line="333" w:lineRule="auto"/>
        <w:sectPr>
          <w:footerReference w:type="default" r:id="rId3"/>
          <w:pgSz w:w="11906" w:h="16839"/>
          <w:pgMar w:top="1431" w:right="1534" w:bottom="1135" w:left="1586" w:header="0" w:footer="918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100" w:line="408" w:lineRule="exact"/>
        <w:jc w:val="right"/>
        <w:rPr/>
      </w:pPr>
      <w:r>
        <w:rPr>
          <w:spacing w:val="15"/>
          <w:position w:val="1"/>
        </w:rPr>
        <w:t>参赛作品必须包含算法模型、源代码、技术报告三部分。</w:t>
      </w:r>
    </w:p>
    <w:p>
      <w:pPr>
        <w:pStyle w:val="BodyText"/>
        <w:ind w:right="82" w:firstLine="691"/>
        <w:spacing w:before="152" w:line="333" w:lineRule="auto"/>
        <w:rPr/>
      </w:pPr>
      <w:r>
        <w:rPr>
          <w:spacing w:val="23"/>
        </w:rPr>
        <w:t>算法模型：鼓励采用轻量化大模型架构，或设计高效的</w:t>
      </w:r>
      <w:r>
        <w:rPr>
          <w:spacing w:val="26"/>
        </w:rPr>
        <w:t>知识蒸馏、模型剪枝量化方案。在开源数据集上进行验证，</w:t>
      </w:r>
      <w:r>
        <w:rPr>
          <w:spacing w:val="24"/>
        </w:rPr>
        <w:t>提供训练好的模型权重文件。</w:t>
      </w:r>
    </w:p>
    <w:p>
      <w:pPr>
        <w:pStyle w:val="BodyText"/>
        <w:ind w:left="2" w:right="129" w:firstLine="687"/>
        <w:spacing w:before="3" w:line="332" w:lineRule="auto"/>
        <w:rPr/>
      </w:pPr>
      <w:r>
        <w:rPr>
          <w:spacing w:val="17"/>
        </w:rPr>
        <w:t>源代码</w:t>
      </w:r>
      <w:r>
        <w:rPr>
          <w:spacing w:val="-74"/>
        </w:rPr>
        <w:t xml:space="preserve"> </w:t>
      </w:r>
      <w:r>
        <w:rPr>
          <w:spacing w:val="17"/>
        </w:rPr>
        <w:t>：完整的源代码</w:t>
      </w:r>
      <w:r>
        <w:rPr>
          <w:spacing w:val="-77"/>
        </w:rPr>
        <w:t xml:space="preserve"> </w:t>
      </w:r>
      <w:r>
        <w:rPr>
          <w:spacing w:val="17"/>
        </w:rPr>
        <w:t>，需包含环境配置文件、</w:t>
      </w:r>
      <w:r>
        <w:rPr>
          <w:spacing w:val="16"/>
        </w:rPr>
        <w:t>一键运</w:t>
      </w:r>
      <w:r>
        <w:rPr>
          <w:spacing w:val="24"/>
        </w:rPr>
        <w:t>行脚本以及运行说明文档等。</w:t>
      </w:r>
    </w:p>
    <w:p>
      <w:pPr>
        <w:pStyle w:val="BodyText"/>
        <w:ind w:left="14" w:right="129" w:firstLine="669"/>
        <w:spacing w:before="5" w:line="329" w:lineRule="auto"/>
        <w:jc w:val="both"/>
        <w:rPr/>
      </w:pPr>
      <w:r>
        <w:rPr>
          <w:spacing w:val="23"/>
        </w:rPr>
        <w:t>技术报告：包含核心算法原理与创新点、适配卫星平台</w:t>
      </w:r>
      <w:r>
        <w:rPr>
          <w:spacing w:val="24"/>
        </w:rPr>
        <w:t>的独特设计、数据集构建与处理说明、实验结果</w:t>
      </w:r>
      <w:r>
        <w:rPr>
          <w:spacing w:val="23"/>
        </w:rPr>
        <w:t>分析、硬件</w:t>
      </w:r>
      <w:r>
        <w:rPr>
          <w:spacing w:val="24"/>
        </w:rPr>
        <w:t>资源消耗分析、创新点、参考文献。</w:t>
      </w:r>
    </w:p>
    <w:p>
      <w:pPr>
        <w:ind w:left="615"/>
        <w:spacing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（二）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决赛阶段</w:t>
      </w:r>
    </w:p>
    <w:p>
      <w:pPr>
        <w:pStyle w:val="BodyText"/>
        <w:ind w:left="6" w:right="119" w:firstLine="681"/>
        <w:spacing w:before="118" w:line="332" w:lineRule="auto"/>
        <w:jc w:val="both"/>
        <w:rPr/>
      </w:pPr>
      <w:r>
        <w:rPr>
          <w:spacing w:val="38"/>
        </w:rPr>
        <w:t>决赛阶段阶段数据集包含开源数据以及出题方提供的</w:t>
      </w:r>
      <w:r>
        <w:rPr>
          <w:spacing w:val="17"/>
        </w:rPr>
        <w:t>闭源数据集</w:t>
      </w:r>
      <w:r>
        <w:rPr>
          <w:spacing w:val="-77"/>
        </w:rPr>
        <w:t xml:space="preserve"> </w:t>
      </w:r>
      <w:r>
        <w:rPr>
          <w:spacing w:val="17"/>
        </w:rPr>
        <w:t>，模型端侧推理部署平台为国产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spacing w:val="16"/>
        </w:rPr>
        <w:t>芯片（</w:t>
      </w:r>
      <w:r>
        <w:rPr>
          <w:spacing w:val="-46"/>
        </w:rPr>
        <w:t xml:space="preserve"> </w:t>
      </w:r>
      <w:r>
        <w:rPr>
          <w:spacing w:val="16"/>
        </w:rPr>
        <w:t>昇腾</w:t>
      </w:r>
      <w:r>
        <w:rPr>
          <w:rFonts w:ascii="Times New Roman" w:hAnsi="Times New Roman" w:eastAsia="Times New Roman" w:cs="Times New Roman"/>
          <w:spacing w:val="16"/>
        </w:rPr>
        <w:t>/</w:t>
      </w:r>
      <w:r>
        <w:rPr>
          <w:spacing w:val="18"/>
        </w:rPr>
        <w:t>天数智芯等</w:t>
      </w:r>
      <w:r>
        <w:rPr>
          <w:spacing w:val="-73"/>
        </w:rPr>
        <w:t xml:space="preserve"> </w:t>
      </w:r>
      <w:r>
        <w:rPr>
          <w:spacing w:val="18"/>
        </w:rPr>
        <w:t>）。参加决赛的各支队伍</w:t>
      </w:r>
      <w:r>
        <w:rPr>
          <w:spacing w:val="-77"/>
        </w:rPr>
        <w:t xml:space="preserve"> </w:t>
      </w:r>
      <w:r>
        <w:rPr>
          <w:spacing w:val="18"/>
        </w:rPr>
        <w:t>，在出题方提供的设备</w:t>
      </w:r>
      <w:r>
        <w:rPr>
          <w:spacing w:val="24"/>
        </w:rPr>
        <w:t>以及数据集上，对多模态大模型解决方案进行验证。提交解</w:t>
      </w:r>
      <w:r>
        <w:rPr>
          <w:spacing w:val="26"/>
        </w:rPr>
        <w:t>决方案的算法模型、源代码以及结果验证报告。</w:t>
      </w:r>
    </w:p>
    <w:p>
      <w:pPr>
        <w:ind w:left="643"/>
        <w:spacing w:line="414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六、作品评选标准</w:t>
      </w:r>
    </w:p>
    <w:p>
      <w:pPr>
        <w:ind w:left="615"/>
        <w:spacing w:before="137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（一）初赛阶段</w:t>
      </w:r>
    </w:p>
    <w:p>
      <w:pPr>
        <w:pStyle w:val="BodyText"/>
        <w:ind w:left="3" w:right="129" w:firstLine="677"/>
        <w:spacing w:before="120" w:line="330" w:lineRule="auto"/>
        <w:jc w:val="both"/>
        <w:rPr/>
      </w:pPr>
      <w:r>
        <w:rPr>
          <w:spacing w:val="24"/>
        </w:rPr>
        <w:t>初赛阶段各参赛队伍在开源数据集对算法进行</w:t>
      </w:r>
      <w:r>
        <w:rPr>
          <w:spacing w:val="23"/>
        </w:rPr>
        <w:t>验证。出</w:t>
      </w:r>
      <w:r>
        <w:rPr>
          <w:spacing w:val="24"/>
        </w:rPr>
        <w:t>题方将组织领域专家根据参赛队伍提交的技术报告，从核心</w:t>
      </w:r>
      <w:r>
        <w:rPr>
          <w:spacing w:val="24"/>
        </w:rPr>
        <w:t>算法的效果、算法的创新性、模型及算法对于卫星平台的适</w:t>
      </w:r>
      <w:r>
        <w:rPr>
          <w:spacing w:val="22"/>
        </w:rPr>
        <w:t>应性等方面进行打分。</w:t>
      </w:r>
    </w:p>
    <w:p>
      <w:pPr>
        <w:ind w:left="615"/>
        <w:spacing w:before="1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（二）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决赛阶段</w:t>
      </w:r>
    </w:p>
    <w:p>
      <w:pPr>
        <w:spacing w:line="209" w:lineRule="auto"/>
        <w:sectPr>
          <w:footerReference w:type="default" r:id="rId8"/>
          <w:pgSz w:w="11906" w:h="16839"/>
          <w:pgMar w:top="1431" w:right="1477" w:bottom="1135" w:left="1602" w:header="0" w:footer="918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40" w:right="133" w:firstLine="675"/>
        <w:spacing w:before="101" w:line="327" w:lineRule="auto"/>
        <w:rPr/>
      </w:pPr>
      <w:r>
        <w:rPr>
          <w:spacing w:val="23"/>
        </w:rPr>
        <w:t>决赛阶段从任务性能、资源效率、创新性三个维度进行</w:t>
      </w:r>
      <w:r>
        <w:rPr>
          <w:spacing w:val="1"/>
        </w:rPr>
        <w:t>综合评分（</w:t>
      </w:r>
      <w:r>
        <w:rPr>
          <w:spacing w:val="-42"/>
        </w:rPr>
        <w:t xml:space="preserve"> </w:t>
      </w:r>
      <w:r>
        <w:rPr>
          <w:spacing w:val="1"/>
        </w:rPr>
        <w:t>总分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100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1"/>
        </w:rPr>
        <w:t>分</w:t>
      </w:r>
      <w:r>
        <w:rPr>
          <w:spacing w:val="-91"/>
        </w:rPr>
        <w:t xml:space="preserve"> </w:t>
      </w:r>
      <w:r>
        <w:rPr>
          <w:spacing w:val="1"/>
        </w:rPr>
        <w:t>）。</w:t>
      </w:r>
    </w:p>
    <w:p>
      <w:pPr>
        <w:ind w:left="790"/>
        <w:spacing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1. 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核心任务性能（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40</w:t>
      </w:r>
      <w:r>
        <w:rPr>
          <w:rFonts w:ascii="Times New Roman" w:hAnsi="Times New Roman" w:eastAsia="Times New Roman" w:cs="Times New Roman"/>
          <w:sz w:val="31"/>
          <w:szCs w:val="31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分）</w:t>
      </w:r>
    </w:p>
    <w:p>
      <w:pPr>
        <w:pStyle w:val="BodyText"/>
        <w:ind w:left="124" w:right="133" w:firstLine="690"/>
        <w:spacing w:before="114" w:line="308" w:lineRule="auto"/>
        <w:rPr/>
      </w:pPr>
      <w:r>
        <w:rPr>
          <w:spacing w:val="23"/>
        </w:rPr>
        <w:t>参赛模型将在统一的测试评估数据集中进行评测，评估</w:t>
      </w:r>
      <w:r>
        <w:rPr>
          <w:spacing w:val="24"/>
        </w:rPr>
        <w:t>模型在遥感图像的综合解译能力。主要从遥感图像的目标检</w:t>
      </w:r>
      <w:r>
        <w:rPr>
          <w:spacing w:val="22"/>
        </w:rPr>
        <w:t>测、场景分类、语义分割、变化检测、</w:t>
      </w:r>
      <w:r>
        <w:rPr>
          <w:spacing w:val="-89"/>
        </w:rPr>
        <w:t xml:space="preserve"> </w:t>
      </w:r>
      <w:r>
        <w:rPr>
          <w:spacing w:val="22"/>
        </w:rPr>
        <w:t>目标计数、遥感图像</w:t>
      </w:r>
      <w:r>
        <w:rPr>
          <w:spacing w:val="23"/>
        </w:rPr>
        <w:t>描述等任务进行评价。</w:t>
      </w:r>
    </w:p>
    <w:tbl>
      <w:tblPr>
        <w:tblStyle w:val="TableNormal"/>
        <w:tblW w:w="895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23"/>
        <w:gridCol w:w="7129"/>
      </w:tblGrid>
      <w:tr>
        <w:trPr>
          <w:trHeight w:val="2248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97" w:right="127" w:firstLine="22"/>
              <w:spacing w:before="175" w:line="334" w:lineRule="auto"/>
              <w:rPr/>
            </w:pPr>
            <w:r>
              <w:rPr>
                <w:rFonts w:ascii="Times New Roman" w:hAnsi="Times New Roman" w:eastAsia="Times New Roman" w:cs="Times New Roman"/>
                <w:spacing w:val="-15"/>
              </w:rPr>
              <w:t>32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5"/>
              </w:rPr>
              <w:t>–</w:t>
            </w:r>
            <w:r>
              <w:rPr>
                <w:spacing w:val="-7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40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15"/>
              </w:rPr>
              <w:t>分</w:t>
            </w:r>
            <w:r>
              <w:rPr>
                <w:spacing w:val="-2"/>
              </w:rPr>
              <w:t>（</w:t>
            </w:r>
            <w:r>
              <w:rPr>
                <w:spacing w:val="-71"/>
              </w:rPr>
              <w:t xml:space="preserve"> </w:t>
            </w:r>
            <w:r>
              <w:rPr>
                <w:spacing w:val="-2"/>
              </w:rPr>
              <w:t>优秀</w:t>
            </w:r>
            <w:r>
              <w:rPr>
                <w:spacing w:val="-91"/>
              </w:rPr>
              <w:t xml:space="preserve"> </w:t>
            </w:r>
            <w:r>
              <w:rPr>
                <w:spacing w:val="-2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19" w:right="128" w:hanging="1"/>
              <w:spacing w:before="175" w:line="307" w:lineRule="auto"/>
              <w:jc w:val="both"/>
              <w:rPr/>
            </w:pPr>
            <w:r>
              <w:rPr>
                <w:spacing w:val="29"/>
              </w:rPr>
              <w:t>模型的综合表现突出</w:t>
            </w:r>
            <w:r>
              <w:rPr>
                <w:spacing w:val="-59"/>
              </w:rPr>
              <w:t xml:space="preserve"> </w:t>
            </w:r>
            <w:r>
              <w:rPr>
                <w:spacing w:val="29"/>
              </w:rPr>
              <w:t>，在多数核心任务上取得</w:t>
            </w:r>
            <w:r>
              <w:rPr>
                <w:spacing w:val="24"/>
              </w:rPr>
              <w:t>较高成绩</w:t>
            </w:r>
            <w:r>
              <w:rPr>
                <w:spacing w:val="-70"/>
              </w:rPr>
              <w:t xml:space="preserve"> </w:t>
            </w:r>
            <w:r>
              <w:rPr>
                <w:spacing w:val="24"/>
              </w:rPr>
              <w:t>；对复杂场景、细粒度</w:t>
            </w:r>
            <w:r>
              <w:rPr>
                <w:spacing w:val="-45"/>
              </w:rPr>
              <w:t xml:space="preserve"> </w:t>
            </w:r>
            <w:r>
              <w:rPr>
                <w:spacing w:val="24"/>
              </w:rPr>
              <w:t>目标和多类型</w:t>
            </w:r>
            <w:r>
              <w:rPr>
                <w:spacing w:val="25"/>
              </w:rPr>
              <w:t>地物具有较强解译能力</w:t>
            </w:r>
            <w:r>
              <w:rPr>
                <w:spacing w:val="-63"/>
              </w:rPr>
              <w:t xml:space="preserve"> </w:t>
            </w:r>
            <w:r>
              <w:rPr>
                <w:spacing w:val="25"/>
              </w:rPr>
              <w:t>，结果稳定</w:t>
            </w:r>
            <w:r>
              <w:rPr>
                <w:spacing w:val="-72"/>
              </w:rPr>
              <w:t xml:space="preserve"> </w:t>
            </w:r>
            <w:r>
              <w:rPr>
                <w:spacing w:val="25"/>
              </w:rPr>
              <w:t>，泛化能力</w:t>
            </w:r>
            <w:r>
              <w:rPr>
                <w:spacing w:val="8"/>
              </w:rPr>
              <w:t>较好。</w:t>
            </w:r>
          </w:p>
        </w:tc>
      </w:tr>
      <w:tr>
        <w:trPr>
          <w:trHeight w:val="1683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97" w:right="127" w:firstLine="15"/>
              <w:spacing w:before="176" w:line="332" w:lineRule="auto"/>
              <w:rPr/>
            </w:pPr>
            <w:r>
              <w:rPr>
                <w:rFonts w:ascii="Times New Roman" w:hAnsi="Times New Roman" w:eastAsia="Times New Roman" w:cs="Times New Roman"/>
                <w:spacing w:val="-15"/>
              </w:rPr>
              <w:t>24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5"/>
              </w:rPr>
              <w:t>–</w:t>
            </w:r>
            <w:r>
              <w:rPr>
                <w:spacing w:val="-6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31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15"/>
              </w:rPr>
              <w:t>分</w:t>
            </w:r>
            <w:r>
              <w:rPr>
                <w:spacing w:val="-15"/>
              </w:rPr>
              <w:t>（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良好</w:t>
            </w:r>
            <w:r>
              <w:rPr>
                <w:spacing w:val="-91"/>
              </w:rPr>
              <w:t xml:space="preserve"> </w:t>
            </w:r>
            <w:r>
              <w:rPr>
                <w:spacing w:val="-15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30" w:hanging="12"/>
              <w:spacing w:before="176" w:line="297" w:lineRule="auto"/>
              <w:jc w:val="both"/>
              <w:rPr/>
            </w:pPr>
            <w:r>
              <w:rPr>
                <w:spacing w:val="29"/>
              </w:rPr>
              <w:t>模型能够较好完成各项核心任务</w:t>
            </w:r>
            <w:r>
              <w:rPr>
                <w:spacing w:val="-61"/>
              </w:rPr>
              <w:t xml:space="preserve"> </w:t>
            </w:r>
            <w:r>
              <w:rPr>
                <w:spacing w:val="29"/>
              </w:rPr>
              <w:t>，在主要场景</w:t>
            </w:r>
            <w:r>
              <w:rPr>
                <w:spacing w:val="24"/>
              </w:rPr>
              <w:t>下表现稳定</w:t>
            </w:r>
            <w:r>
              <w:rPr>
                <w:spacing w:val="-56"/>
              </w:rPr>
              <w:t xml:space="preserve"> </w:t>
            </w:r>
            <w:r>
              <w:rPr>
                <w:spacing w:val="24"/>
              </w:rPr>
              <w:t>；综合解译能力较强</w:t>
            </w:r>
            <w:r>
              <w:rPr>
                <w:spacing w:val="-72"/>
              </w:rPr>
              <w:t xml:space="preserve"> </w:t>
            </w:r>
            <w:r>
              <w:rPr>
                <w:spacing w:val="24"/>
              </w:rPr>
              <w:t>，但在部分复</w:t>
            </w:r>
            <w:r>
              <w:rPr>
                <w:spacing w:val="23"/>
              </w:rPr>
              <w:t>杂任务、边缘样本或特定场景下仍有提升空间。</w:t>
            </w:r>
          </w:p>
        </w:tc>
      </w:tr>
      <w:tr>
        <w:trPr>
          <w:trHeight w:val="1688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97" w:right="127" w:firstLine="20"/>
              <w:spacing w:before="176" w:line="332" w:lineRule="auto"/>
              <w:rPr/>
            </w:pPr>
            <w:r>
              <w:rPr>
                <w:rFonts w:ascii="Times New Roman" w:hAnsi="Times New Roman" w:eastAsia="Times New Roman" w:cs="Times New Roman"/>
                <w:spacing w:val="-15"/>
              </w:rPr>
              <w:t>0   </w:t>
            </w:r>
            <w:r>
              <w:rPr>
                <w:spacing w:val="-15"/>
              </w:rPr>
              <w:t>–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23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 </w:t>
            </w:r>
            <w:r>
              <w:rPr>
                <w:spacing w:val="-15"/>
              </w:rPr>
              <w:t>分</w:t>
            </w:r>
            <w:r>
              <w:rPr>
                <w:spacing w:val="-2"/>
              </w:rPr>
              <w:t>（</w:t>
            </w:r>
            <w:r>
              <w:rPr>
                <w:spacing w:val="-71"/>
              </w:rPr>
              <w:t xml:space="preserve"> </w:t>
            </w:r>
            <w:r>
              <w:rPr>
                <w:spacing w:val="-2"/>
              </w:rPr>
              <w:t>合格</w:t>
            </w:r>
            <w:r>
              <w:rPr>
                <w:spacing w:val="-91"/>
              </w:rPr>
              <w:t xml:space="preserve"> </w:t>
            </w:r>
            <w:r>
              <w:rPr>
                <w:spacing w:val="-2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25" w:right="128" w:hanging="7"/>
              <w:spacing w:before="176" w:line="298" w:lineRule="auto"/>
              <w:jc w:val="both"/>
              <w:rPr/>
            </w:pPr>
            <w:r>
              <w:rPr>
                <w:spacing w:val="29"/>
              </w:rPr>
              <w:t>模型能够完成部分核心任务</w:t>
            </w:r>
            <w:r>
              <w:rPr>
                <w:spacing w:val="-59"/>
              </w:rPr>
              <w:t xml:space="preserve"> </w:t>
            </w:r>
            <w:r>
              <w:rPr>
                <w:spacing w:val="29"/>
              </w:rPr>
              <w:t>，达到基本参赛要</w:t>
            </w:r>
            <w:r>
              <w:rPr>
                <w:spacing w:val="25"/>
              </w:rPr>
              <w:t>求</w:t>
            </w:r>
            <w:r>
              <w:rPr>
                <w:spacing w:val="-68"/>
              </w:rPr>
              <w:t xml:space="preserve"> </w:t>
            </w:r>
            <w:r>
              <w:rPr>
                <w:spacing w:val="25"/>
              </w:rPr>
              <w:t>，但整体性能一般</w:t>
            </w:r>
            <w:r>
              <w:rPr>
                <w:spacing w:val="-74"/>
              </w:rPr>
              <w:t xml:space="preserve"> </w:t>
            </w:r>
            <w:r>
              <w:rPr>
                <w:spacing w:val="25"/>
              </w:rPr>
              <w:t>；在准确性、稳定性或多</w:t>
            </w:r>
            <w:r>
              <w:rPr>
                <w:spacing w:val="25"/>
              </w:rPr>
              <w:t>任务均衡性方面存在较明显不足。</w:t>
            </w:r>
          </w:p>
        </w:tc>
      </w:tr>
    </w:tbl>
    <w:p>
      <w:pPr>
        <w:ind w:left="759"/>
        <w:spacing w:before="152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2. 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资源效率与星载适配性（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40</w:t>
      </w:r>
      <w:r>
        <w:rPr>
          <w:rFonts w:ascii="Times New Roman" w:hAnsi="Times New Roman" w:eastAsia="Times New Roman" w:cs="Times New Roman"/>
          <w:sz w:val="31"/>
          <w:szCs w:val="3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分）</w:t>
      </w:r>
    </w:p>
    <w:p>
      <w:pPr>
        <w:pStyle w:val="BodyText"/>
        <w:ind w:left="139" w:right="16" w:firstLine="672"/>
        <w:spacing w:before="120" w:line="332" w:lineRule="auto"/>
        <w:rPr/>
      </w:pPr>
      <w:r>
        <w:rPr>
          <w:spacing w:val="20"/>
        </w:rPr>
        <w:t>根据参赛模型的推理速度（</w:t>
      </w:r>
      <w:r>
        <w:rPr>
          <w:spacing w:val="-65"/>
        </w:rPr>
        <w:t xml:space="preserve"> </w:t>
      </w:r>
      <w:r>
        <w:rPr>
          <w:spacing w:val="20"/>
        </w:rPr>
        <w:t>单张高分辨率遥感图像的端</w:t>
      </w:r>
      <w:r>
        <w:rPr>
          <w:spacing w:val="24"/>
        </w:rPr>
        <w:t>到端推理时间</w:t>
      </w:r>
      <w:r>
        <w:rPr>
          <w:spacing w:val="-91"/>
        </w:rPr>
        <w:t xml:space="preserve"> </w:t>
      </w:r>
      <w:r>
        <w:rPr>
          <w:spacing w:val="18"/>
        </w:rPr>
        <w:t>），</w:t>
      </w:r>
      <w:r>
        <w:rPr>
          <w:spacing w:val="24"/>
        </w:rPr>
        <w:t>模型大小（模型参数量和存储占用空间</w:t>
      </w:r>
      <w:r>
        <w:rPr>
          <w:spacing w:val="-91"/>
        </w:rPr>
        <w:t xml:space="preserve"> </w:t>
      </w:r>
      <w:r>
        <w:rPr>
          <w:spacing w:val="24"/>
        </w:rPr>
        <w:t>）</w:t>
      </w:r>
      <w:r>
        <w:rPr>
          <w:spacing w:val="15"/>
        </w:rPr>
        <w:t>以及显存占用（</w:t>
      </w:r>
      <w:r>
        <w:rPr>
          <w:spacing w:val="-62"/>
        </w:rPr>
        <w:t xml:space="preserve"> </w:t>
      </w:r>
      <w:r>
        <w:rPr>
          <w:spacing w:val="15"/>
        </w:rPr>
        <w:t>推理过程中的峰值显存消耗</w:t>
      </w:r>
      <w:r>
        <w:rPr>
          <w:spacing w:val="-91"/>
        </w:rPr>
        <w:t xml:space="preserve"> </w:t>
      </w:r>
      <w:r>
        <w:rPr>
          <w:spacing w:val="15"/>
        </w:rPr>
        <w:t>）综合评判</w:t>
      </w:r>
      <w:r>
        <w:rPr>
          <w:spacing w:val="-79"/>
        </w:rPr>
        <w:t xml:space="preserve"> </w:t>
      </w:r>
      <w:r>
        <w:rPr>
          <w:spacing w:val="15"/>
        </w:rPr>
        <w:t>，并</w:t>
      </w:r>
      <w:r>
        <w:rPr>
          <w:spacing w:val="27"/>
        </w:rPr>
        <w:t>关注模型在星载、边缘端或受限算力平台上的适配可行</w:t>
      </w:r>
      <w:r>
        <w:rPr>
          <w:spacing w:val="26"/>
        </w:rPr>
        <w:t>性。</w:t>
      </w:r>
    </w:p>
    <w:p>
      <w:pPr>
        <w:spacing w:line="332" w:lineRule="auto"/>
        <w:sectPr>
          <w:footerReference w:type="default" r:id="rId9"/>
          <w:pgSz w:w="11906" w:h="16839"/>
          <w:pgMar w:top="1431" w:right="1474" w:bottom="1131" w:left="1474" w:header="0" w:footer="918" w:gutter="0"/>
        </w:sectPr>
        <w:rPr/>
      </w:pPr>
    </w:p>
    <w:p>
      <w:pPr>
        <w:spacing w:before="35"/>
        <w:rPr/>
      </w:pPr>
      <w:r/>
    </w:p>
    <w:p>
      <w:pPr>
        <w:spacing w:before="34"/>
        <w:rPr/>
      </w:pPr>
      <w:r/>
    </w:p>
    <w:tbl>
      <w:tblPr>
        <w:tblStyle w:val="TableNormal"/>
        <w:tblW w:w="895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23"/>
        <w:gridCol w:w="7129"/>
      </w:tblGrid>
      <w:tr>
        <w:trPr>
          <w:trHeight w:val="1688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97" w:right="127" w:firstLine="22"/>
              <w:spacing w:before="177" w:line="332" w:lineRule="auto"/>
              <w:rPr/>
            </w:pPr>
            <w:r>
              <w:rPr>
                <w:rFonts w:ascii="Times New Roman" w:hAnsi="Times New Roman" w:eastAsia="Times New Roman" w:cs="Times New Roman"/>
                <w:spacing w:val="-15"/>
              </w:rPr>
              <w:t>32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5"/>
              </w:rPr>
              <w:t>–</w:t>
            </w:r>
            <w:r>
              <w:rPr>
                <w:spacing w:val="-7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40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15"/>
              </w:rPr>
              <w:t>分</w:t>
            </w:r>
            <w:r>
              <w:rPr>
                <w:spacing w:val="-2"/>
              </w:rPr>
              <w:t>（</w:t>
            </w:r>
            <w:r>
              <w:rPr>
                <w:spacing w:val="-71"/>
              </w:rPr>
              <w:t xml:space="preserve"> </w:t>
            </w:r>
            <w:r>
              <w:rPr>
                <w:spacing w:val="-2"/>
              </w:rPr>
              <w:t>优秀</w:t>
            </w:r>
            <w:r>
              <w:rPr>
                <w:spacing w:val="-91"/>
              </w:rPr>
              <w:t xml:space="preserve"> </w:t>
            </w:r>
            <w:r>
              <w:rPr>
                <w:spacing w:val="-2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32" w:right="128" w:hanging="14"/>
              <w:spacing w:before="176" w:line="298" w:lineRule="auto"/>
              <w:jc w:val="both"/>
              <w:rPr/>
            </w:pPr>
            <w:r>
              <w:rPr>
                <w:spacing w:val="25"/>
              </w:rPr>
              <w:t>模型结构轻量高效</w:t>
            </w:r>
            <w:r>
              <w:rPr>
                <w:spacing w:val="-62"/>
              </w:rPr>
              <w:t xml:space="preserve"> </w:t>
            </w:r>
            <w:r>
              <w:rPr>
                <w:spacing w:val="25"/>
              </w:rPr>
              <w:t>，推理速度快</w:t>
            </w:r>
            <w:r>
              <w:rPr>
                <w:spacing w:val="-72"/>
              </w:rPr>
              <w:t xml:space="preserve"> </w:t>
            </w:r>
            <w:r>
              <w:rPr>
                <w:spacing w:val="25"/>
              </w:rPr>
              <w:t>，存储占用和</w:t>
            </w:r>
            <w:r>
              <w:rPr>
                <w:spacing w:val="28"/>
              </w:rPr>
              <w:t>显存消耗低</w:t>
            </w:r>
            <w:r>
              <w:rPr>
                <w:spacing w:val="-54"/>
              </w:rPr>
              <w:t xml:space="preserve"> </w:t>
            </w:r>
            <w:r>
              <w:rPr>
                <w:spacing w:val="28"/>
              </w:rPr>
              <w:t>，在受限算力环境下具有较强部署</w:t>
            </w:r>
            <w:r>
              <w:rPr>
                <w:spacing w:val="19"/>
              </w:rPr>
              <w:t>可行性</w:t>
            </w:r>
            <w:r>
              <w:rPr>
                <w:spacing w:val="-69"/>
              </w:rPr>
              <w:t xml:space="preserve"> </w:t>
            </w:r>
            <w:r>
              <w:rPr>
                <w:spacing w:val="19"/>
              </w:rPr>
              <w:t>，较好满足星载应用需求。</w:t>
            </w:r>
          </w:p>
        </w:tc>
      </w:tr>
      <w:tr>
        <w:trPr>
          <w:trHeight w:val="2243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97" w:right="127" w:firstLine="15"/>
              <w:spacing w:before="173" w:line="334" w:lineRule="auto"/>
              <w:rPr/>
            </w:pPr>
            <w:r>
              <w:rPr>
                <w:rFonts w:ascii="Times New Roman" w:hAnsi="Times New Roman" w:eastAsia="Times New Roman" w:cs="Times New Roman"/>
                <w:spacing w:val="-15"/>
              </w:rPr>
              <w:t>24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5"/>
              </w:rPr>
              <w:t>–</w:t>
            </w:r>
            <w:r>
              <w:rPr>
                <w:spacing w:val="-6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31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15"/>
              </w:rPr>
              <w:t>分</w:t>
            </w:r>
            <w:r>
              <w:rPr>
                <w:spacing w:val="-15"/>
              </w:rPr>
              <w:t>（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良好</w:t>
            </w:r>
            <w:r>
              <w:rPr>
                <w:spacing w:val="-91"/>
              </w:rPr>
              <w:t xml:space="preserve"> </w:t>
            </w:r>
            <w:r>
              <w:rPr>
                <w:spacing w:val="-15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24" w:right="128" w:hanging="6"/>
              <w:spacing w:before="170" w:line="307" w:lineRule="auto"/>
              <w:jc w:val="both"/>
              <w:rPr/>
            </w:pPr>
            <w:r>
              <w:rPr>
                <w:spacing w:val="33"/>
              </w:rPr>
              <w:t>模型在推理效率、参数规模和显存占用方面表</w:t>
            </w:r>
            <w:r>
              <w:rPr>
                <w:spacing w:val="22"/>
              </w:rPr>
              <w:t>现较好</w:t>
            </w:r>
            <w:r>
              <w:rPr>
                <w:spacing w:val="-71"/>
              </w:rPr>
              <w:t xml:space="preserve"> </w:t>
            </w:r>
            <w:r>
              <w:rPr>
                <w:spacing w:val="22"/>
              </w:rPr>
              <w:t>，具备一定部署能力</w:t>
            </w:r>
            <w:r>
              <w:rPr>
                <w:spacing w:val="-72"/>
              </w:rPr>
              <w:t xml:space="preserve"> </w:t>
            </w:r>
            <w:r>
              <w:rPr>
                <w:spacing w:val="22"/>
              </w:rPr>
              <w:t>，</w:t>
            </w:r>
            <w:r>
              <w:rPr>
                <w:spacing w:val="-92"/>
              </w:rPr>
              <w:t xml:space="preserve"> </w:t>
            </w:r>
            <w:r>
              <w:rPr>
                <w:spacing w:val="22"/>
              </w:rPr>
              <w:t>能够较好适配资</w:t>
            </w:r>
            <w:r>
              <w:rPr>
                <w:spacing w:val="29"/>
              </w:rPr>
              <w:t>源受限场景</w:t>
            </w:r>
            <w:r>
              <w:rPr>
                <w:spacing w:val="-65"/>
              </w:rPr>
              <w:t xml:space="preserve"> </w:t>
            </w:r>
            <w:r>
              <w:rPr>
                <w:spacing w:val="29"/>
              </w:rPr>
              <w:t>，但在极限压缩或实时性方面仍有</w:t>
            </w:r>
            <w:r>
              <w:rPr>
                <w:spacing w:val="16"/>
              </w:rPr>
              <w:t>优化空间。</w:t>
            </w:r>
          </w:p>
        </w:tc>
      </w:tr>
      <w:tr>
        <w:trPr>
          <w:trHeight w:val="1688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97" w:right="127" w:firstLine="20"/>
              <w:spacing w:before="177" w:line="332" w:lineRule="auto"/>
              <w:rPr/>
            </w:pPr>
            <w:r>
              <w:rPr>
                <w:rFonts w:ascii="Times New Roman" w:hAnsi="Times New Roman" w:eastAsia="Times New Roman" w:cs="Times New Roman"/>
                <w:spacing w:val="-15"/>
              </w:rPr>
              <w:t>0   </w:t>
            </w:r>
            <w:r>
              <w:rPr>
                <w:spacing w:val="-15"/>
              </w:rPr>
              <w:t>–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23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 </w:t>
            </w:r>
            <w:r>
              <w:rPr>
                <w:spacing w:val="-15"/>
              </w:rPr>
              <w:t>分</w:t>
            </w:r>
            <w:r>
              <w:rPr>
                <w:spacing w:val="-2"/>
              </w:rPr>
              <w:t>（</w:t>
            </w:r>
            <w:r>
              <w:rPr>
                <w:spacing w:val="-71"/>
              </w:rPr>
              <w:t xml:space="preserve"> </w:t>
            </w:r>
            <w:r>
              <w:rPr>
                <w:spacing w:val="-2"/>
              </w:rPr>
              <w:t>合格</w:t>
            </w:r>
            <w:r>
              <w:rPr>
                <w:spacing w:val="-91"/>
              </w:rPr>
              <w:t xml:space="preserve"> </w:t>
            </w:r>
            <w:r>
              <w:rPr>
                <w:spacing w:val="-2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18"/>
              <w:spacing w:before="176" w:line="298" w:lineRule="auto"/>
              <w:jc w:val="both"/>
              <w:rPr/>
            </w:pPr>
            <w:r>
              <w:rPr>
                <w:spacing w:val="16"/>
              </w:rPr>
              <w:t>模型可基本运行</w:t>
            </w:r>
            <w:r>
              <w:rPr>
                <w:spacing w:val="-72"/>
              </w:rPr>
              <w:t xml:space="preserve"> </w:t>
            </w:r>
            <w:r>
              <w:rPr>
                <w:spacing w:val="16"/>
              </w:rPr>
              <w:t>，但资源消耗较高</w:t>
            </w:r>
            <w:r>
              <w:rPr>
                <w:spacing w:val="-80"/>
              </w:rPr>
              <w:t xml:space="preserve"> </w:t>
            </w:r>
            <w:r>
              <w:rPr>
                <w:spacing w:val="16"/>
              </w:rPr>
              <w:t>，推理速度、</w:t>
            </w:r>
            <w:r>
              <w:rPr>
                <w:spacing w:val="-16"/>
              </w:rPr>
              <w:t>模</w:t>
            </w:r>
            <w:r>
              <w:rPr>
                <w:spacing w:val="-65"/>
              </w:rPr>
              <w:t xml:space="preserve"> </w:t>
            </w:r>
            <w:r>
              <w:rPr>
                <w:spacing w:val="-16"/>
              </w:rPr>
              <w:t>型</w:t>
            </w:r>
            <w:r>
              <w:rPr>
                <w:spacing w:val="-80"/>
              </w:rPr>
              <w:t xml:space="preserve"> </w:t>
            </w:r>
            <w:r>
              <w:rPr>
                <w:spacing w:val="-16"/>
              </w:rPr>
              <w:t>大</w:t>
            </w:r>
            <w:r>
              <w:rPr>
                <w:spacing w:val="-82"/>
              </w:rPr>
              <w:t xml:space="preserve"> </w:t>
            </w:r>
            <w:r>
              <w:rPr>
                <w:spacing w:val="-16"/>
              </w:rPr>
              <w:t>小</w:t>
            </w:r>
            <w:r>
              <w:rPr>
                <w:spacing w:val="-85"/>
              </w:rPr>
              <w:t xml:space="preserve"> </w:t>
            </w:r>
            <w:r>
              <w:rPr>
                <w:spacing w:val="-16"/>
              </w:rPr>
              <w:t>或</w:t>
            </w:r>
            <w:r>
              <w:rPr>
                <w:spacing w:val="-81"/>
              </w:rPr>
              <w:t xml:space="preserve"> </w:t>
            </w:r>
            <w:r>
              <w:rPr>
                <w:spacing w:val="-16"/>
              </w:rPr>
              <w:t>显</w:t>
            </w:r>
            <w:r>
              <w:rPr>
                <w:spacing w:val="-92"/>
              </w:rPr>
              <w:t xml:space="preserve"> </w:t>
            </w:r>
            <w:r>
              <w:rPr>
                <w:spacing w:val="-16"/>
              </w:rPr>
              <w:t>存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占</w:t>
            </w:r>
            <w:r>
              <w:rPr>
                <w:spacing w:val="-88"/>
              </w:rPr>
              <w:t xml:space="preserve"> </w:t>
            </w:r>
            <w:r>
              <w:rPr>
                <w:spacing w:val="-16"/>
              </w:rPr>
              <w:t>用</w:t>
            </w:r>
            <w:r>
              <w:rPr>
                <w:spacing w:val="-49"/>
              </w:rPr>
              <w:t xml:space="preserve"> </w:t>
            </w:r>
            <w:r>
              <w:rPr>
                <w:spacing w:val="-16"/>
              </w:rPr>
              <w:t>中</w:t>
            </w:r>
            <w:r>
              <w:rPr>
                <w:spacing w:val="-62"/>
              </w:rPr>
              <w:t xml:space="preserve"> </w:t>
            </w:r>
            <w:r>
              <w:rPr>
                <w:spacing w:val="-16"/>
              </w:rPr>
              <w:t>的</w:t>
            </w:r>
            <w:r>
              <w:rPr>
                <w:spacing w:val="-73"/>
              </w:rPr>
              <w:t xml:space="preserve"> </w:t>
            </w:r>
            <w:r>
              <w:rPr>
                <w:spacing w:val="-16"/>
              </w:rPr>
              <w:t>一</w:t>
            </w:r>
            <w:r>
              <w:rPr>
                <w:spacing w:val="-87"/>
              </w:rPr>
              <w:t xml:space="preserve"> </w:t>
            </w:r>
            <w:r>
              <w:rPr>
                <w:spacing w:val="-16"/>
              </w:rPr>
              <w:t>项</w:t>
            </w:r>
            <w:r>
              <w:rPr>
                <w:spacing w:val="-87"/>
              </w:rPr>
              <w:t xml:space="preserve"> </w:t>
            </w:r>
            <w:r>
              <w:rPr>
                <w:spacing w:val="-16"/>
              </w:rPr>
              <w:t>或多</w:t>
            </w:r>
            <w:r>
              <w:rPr>
                <w:spacing w:val="-89"/>
              </w:rPr>
              <w:t xml:space="preserve"> </w:t>
            </w:r>
            <w:r>
              <w:rPr>
                <w:spacing w:val="-16"/>
              </w:rPr>
              <w:t>项表</w:t>
            </w:r>
            <w:r>
              <w:rPr>
                <w:spacing w:val="-88"/>
              </w:rPr>
              <w:t xml:space="preserve"> </w:t>
            </w:r>
            <w:r>
              <w:rPr>
                <w:spacing w:val="-16"/>
              </w:rPr>
              <w:t>现</w:t>
            </w:r>
            <w:r>
              <w:rPr>
                <w:spacing w:val="-74"/>
              </w:rPr>
              <w:t xml:space="preserve"> </w:t>
            </w:r>
            <w:r>
              <w:rPr>
                <w:spacing w:val="-16"/>
              </w:rPr>
              <w:t>一</w:t>
            </w:r>
            <w:r>
              <w:rPr>
                <w:spacing w:val="21"/>
              </w:rPr>
              <w:t>般</w:t>
            </w:r>
            <w:r>
              <w:rPr>
                <w:spacing w:val="-73"/>
              </w:rPr>
              <w:t xml:space="preserve"> </w:t>
            </w:r>
            <w:r>
              <w:rPr>
                <w:spacing w:val="21"/>
              </w:rPr>
              <w:t>，对星载或边缘部署的适配性较弱。</w:t>
            </w:r>
          </w:p>
        </w:tc>
      </w:tr>
    </w:tbl>
    <w:p>
      <w:pPr>
        <w:ind w:left="766"/>
        <w:spacing w:before="153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3. 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创新性与应用价值（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20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分）</w:t>
      </w:r>
    </w:p>
    <w:p>
      <w:pPr>
        <w:pStyle w:val="BodyText"/>
        <w:ind w:left="148" w:right="133" w:firstLine="663"/>
        <w:spacing w:before="118" w:line="332" w:lineRule="auto"/>
        <w:rPr/>
      </w:pPr>
      <w:r>
        <w:rPr>
          <w:spacing w:val="38"/>
        </w:rPr>
        <w:t>评委专家将围绕参赛作品是否提出适配遥感数据特性</w:t>
      </w:r>
      <w:r>
        <w:rPr>
          <w:spacing w:val="21"/>
        </w:rPr>
        <w:t>的创新网络架构、独具特色的模型微调策略</w:t>
      </w:r>
      <w:r>
        <w:rPr>
          <w:spacing w:val="-80"/>
        </w:rPr>
        <w:t xml:space="preserve"> </w:t>
      </w:r>
      <w:r>
        <w:rPr>
          <w:spacing w:val="20"/>
        </w:rPr>
        <w:t>，以及面向航天</w:t>
      </w:r>
      <w:r>
        <w:rPr>
          <w:spacing w:val="23"/>
        </w:rPr>
        <w:t>与太空场景的针对性解决方案等核心指标，综合评定作品的</w:t>
      </w:r>
    </w:p>
    <w:p>
      <w:pPr>
        <w:pStyle w:val="BodyText"/>
        <w:ind w:left="129"/>
        <w:spacing w:before="5" w:line="231" w:lineRule="auto"/>
        <w:rPr/>
      </w:pPr>
      <w:r>
        <w:rPr>
          <w:spacing w:val="22"/>
        </w:rPr>
        <w:t>创新性与应用价值。</w:t>
      </w:r>
    </w:p>
    <w:tbl>
      <w:tblPr>
        <w:tblStyle w:val="TableNormal"/>
        <w:tblW w:w="895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23"/>
        <w:gridCol w:w="7129"/>
      </w:tblGrid>
      <w:tr>
        <w:trPr>
          <w:trHeight w:val="2247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97" w:right="127" w:firstLine="46"/>
              <w:spacing w:before="178" w:line="332" w:lineRule="auto"/>
              <w:rPr/>
            </w:pPr>
            <w:r>
              <w:rPr>
                <w:rFonts w:ascii="Times New Roman" w:hAnsi="Times New Roman" w:eastAsia="Times New Roman" w:cs="Times New Roman"/>
                <w:spacing w:val="-19"/>
              </w:rPr>
              <w:t>16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9"/>
              </w:rPr>
              <w:t>–</w:t>
            </w:r>
            <w:r>
              <w:rPr>
                <w:spacing w:val="-7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>20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19"/>
              </w:rPr>
              <w:t>分</w:t>
            </w:r>
            <w:r>
              <w:rPr>
                <w:spacing w:val="-2"/>
              </w:rPr>
              <w:t>（</w:t>
            </w:r>
            <w:r>
              <w:rPr>
                <w:spacing w:val="-71"/>
              </w:rPr>
              <w:t xml:space="preserve"> </w:t>
            </w:r>
            <w:r>
              <w:rPr>
                <w:spacing w:val="-2"/>
              </w:rPr>
              <w:t>优秀</w:t>
            </w:r>
            <w:r>
              <w:rPr>
                <w:spacing w:val="-91"/>
              </w:rPr>
              <w:t xml:space="preserve"> </w:t>
            </w:r>
            <w:r>
              <w:rPr>
                <w:spacing w:val="-2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25" w:right="18" w:hanging="1"/>
              <w:spacing w:before="174" w:line="307" w:lineRule="auto"/>
              <w:jc w:val="both"/>
              <w:rPr/>
            </w:pPr>
            <w:r>
              <w:rPr>
                <w:spacing w:val="29"/>
              </w:rPr>
              <w:t>作品创新点明确</w:t>
            </w:r>
            <w:r>
              <w:rPr>
                <w:spacing w:val="-65"/>
              </w:rPr>
              <w:t xml:space="preserve"> </w:t>
            </w:r>
            <w:r>
              <w:rPr>
                <w:spacing w:val="29"/>
              </w:rPr>
              <w:t>，技术路线具有较强原创性或</w:t>
            </w:r>
            <w:r>
              <w:rPr>
                <w:spacing w:val="29"/>
              </w:rPr>
              <w:t>显著改进</w:t>
            </w:r>
            <w:r>
              <w:rPr>
                <w:spacing w:val="-67"/>
              </w:rPr>
              <w:t xml:space="preserve"> </w:t>
            </w:r>
            <w:r>
              <w:rPr>
                <w:spacing w:val="29"/>
              </w:rPr>
              <w:t>；能够结合遥感数据特点和航天应用</w:t>
            </w:r>
            <w:r>
              <w:rPr>
                <w:spacing w:val="22"/>
              </w:rPr>
              <w:t>需求提出有针对性的解决方案，应用前景清晰，</w:t>
            </w:r>
            <w:r>
              <w:rPr>
                <w:spacing w:val="19"/>
              </w:rPr>
              <w:t>推广价值较高。</w:t>
            </w:r>
          </w:p>
        </w:tc>
      </w:tr>
      <w:tr>
        <w:trPr>
          <w:trHeight w:val="1685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97" w:right="127" w:firstLine="46"/>
              <w:spacing w:before="174" w:line="334" w:lineRule="auto"/>
              <w:rPr/>
            </w:pPr>
            <w:r>
              <w:rPr>
                <w:rFonts w:ascii="Times New Roman" w:hAnsi="Times New Roman" w:eastAsia="Times New Roman" w:cs="Times New Roman"/>
                <w:spacing w:val="-24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24"/>
              </w:rPr>
              <w:t>–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24"/>
              </w:rPr>
              <w:t>分</w:t>
            </w:r>
            <w:r>
              <w:rPr>
                <w:spacing w:val="-15"/>
              </w:rPr>
              <w:t>（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良好</w:t>
            </w:r>
            <w:r>
              <w:rPr>
                <w:spacing w:val="-91"/>
              </w:rPr>
              <w:t xml:space="preserve"> </w:t>
            </w:r>
            <w:r>
              <w:rPr>
                <w:spacing w:val="-15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19" w:right="128" w:firstLine="5"/>
              <w:spacing w:before="173" w:line="298" w:lineRule="auto"/>
              <w:jc w:val="both"/>
              <w:rPr/>
            </w:pPr>
            <w:r>
              <w:rPr>
                <w:spacing w:val="29"/>
              </w:rPr>
              <w:t>作品具有一定创新性</w:t>
            </w:r>
            <w:r>
              <w:rPr>
                <w:spacing w:val="-65"/>
              </w:rPr>
              <w:t xml:space="preserve"> </w:t>
            </w:r>
            <w:r>
              <w:rPr>
                <w:spacing w:val="29"/>
              </w:rPr>
              <w:t>，在模型设计、训练策略</w:t>
            </w:r>
            <w:r>
              <w:rPr>
                <w:spacing w:val="29"/>
              </w:rPr>
              <w:t>或应用落地方面有较明显特色</w:t>
            </w:r>
            <w:r>
              <w:rPr>
                <w:spacing w:val="-60"/>
              </w:rPr>
              <w:t xml:space="preserve"> </w:t>
            </w:r>
            <w:r>
              <w:rPr>
                <w:spacing w:val="29"/>
              </w:rPr>
              <w:t>；能够回应遥感</w:t>
            </w:r>
            <w:r>
              <w:rPr>
                <w:spacing w:val="29"/>
              </w:rPr>
              <w:t>领域实际需求</w:t>
            </w:r>
            <w:r>
              <w:rPr>
                <w:spacing w:val="-60"/>
              </w:rPr>
              <w:t xml:space="preserve"> </w:t>
            </w:r>
            <w:r>
              <w:rPr>
                <w:spacing w:val="29"/>
              </w:rPr>
              <w:t>，但创新深度或应用成熟度仍有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"/>
          <w:pgSz w:w="11906" w:h="16839"/>
          <w:pgMar w:top="1431" w:right="1474" w:bottom="1135" w:left="1474" w:header="0" w:footer="91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5"/>
        <w:rPr/>
      </w:pPr>
      <w:r/>
    </w:p>
    <w:p>
      <w:pPr>
        <w:spacing w:before="34"/>
        <w:rPr/>
      </w:pPr>
      <w:r/>
    </w:p>
    <w:tbl>
      <w:tblPr>
        <w:tblStyle w:val="TableNormal"/>
        <w:tblW w:w="895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23"/>
        <w:gridCol w:w="7129"/>
      </w:tblGrid>
      <w:tr>
        <w:trPr>
          <w:trHeight w:val="568" w:hRule="atLeast"/>
        </w:trPr>
        <w:tc>
          <w:tcPr>
            <w:tcW w:w="1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19"/>
              <w:spacing w:before="176" w:line="227" w:lineRule="auto"/>
              <w:rPr/>
            </w:pPr>
            <w:r>
              <w:rPr>
                <w:spacing w:val="21"/>
              </w:rPr>
              <w:t>进一步提升空间。</w:t>
            </w:r>
          </w:p>
        </w:tc>
      </w:tr>
      <w:tr>
        <w:trPr>
          <w:trHeight w:val="1686" w:hRule="atLeast"/>
        </w:trPr>
        <w:tc>
          <w:tcPr>
            <w:tcW w:w="1823" w:type="dxa"/>
            <w:vAlign w:val="top"/>
          </w:tcPr>
          <w:p>
            <w:pPr>
              <w:pStyle w:val="TableText"/>
              <w:ind w:left="122" w:right="127" w:hanging="4"/>
              <w:spacing w:before="176" w:line="332" w:lineRule="auto"/>
              <w:rPr/>
            </w:pPr>
            <w:r>
              <w:rPr>
                <w:rFonts w:ascii="Times New Roman" w:hAnsi="Times New Roman" w:eastAsia="Times New Roman" w:cs="Times New Roman"/>
                <w:spacing w:val="-52"/>
              </w:rPr>
              <w:t>0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spacing w:val="-52"/>
              </w:rPr>
              <w:t>–</w:t>
            </w:r>
            <w:r>
              <w:rPr>
                <w:spacing w:val="-1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2"/>
              </w:rPr>
              <w:t>9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52"/>
              </w:rPr>
              <w:t>分（</w:t>
            </w:r>
            <w:r>
              <w:rPr>
                <w:spacing w:val="-72"/>
              </w:rPr>
              <w:t xml:space="preserve"> </w:t>
            </w:r>
            <w:r>
              <w:rPr>
                <w:spacing w:val="-52"/>
              </w:rPr>
              <w:t>合</w:t>
            </w:r>
            <w:r>
              <w:rPr>
                <w:spacing w:val="-4"/>
              </w:rPr>
              <w:t>格</w:t>
            </w:r>
            <w:r>
              <w:rPr>
                <w:spacing w:val="-91"/>
              </w:rPr>
              <w:t xml:space="preserve"> </w:t>
            </w:r>
            <w:r>
              <w:rPr>
                <w:spacing w:val="-4"/>
              </w:rPr>
              <w:t>）</w:t>
            </w:r>
          </w:p>
        </w:tc>
        <w:tc>
          <w:tcPr>
            <w:tcW w:w="7129" w:type="dxa"/>
            <w:vAlign w:val="top"/>
          </w:tcPr>
          <w:p>
            <w:pPr>
              <w:pStyle w:val="TableText"/>
              <w:ind w:left="124" w:right="128"/>
              <w:spacing w:before="174" w:line="298" w:lineRule="auto"/>
              <w:jc w:val="both"/>
              <w:rPr/>
            </w:pPr>
            <w:r>
              <w:rPr>
                <w:spacing w:val="25"/>
              </w:rPr>
              <w:t>作品具备基本完成度</w:t>
            </w:r>
            <w:r>
              <w:rPr>
                <w:spacing w:val="-68"/>
              </w:rPr>
              <w:t xml:space="preserve"> </w:t>
            </w:r>
            <w:r>
              <w:rPr>
                <w:spacing w:val="25"/>
              </w:rPr>
              <w:t>，但创新性不突出</w:t>
            </w:r>
            <w:r>
              <w:rPr>
                <w:spacing w:val="-72"/>
              </w:rPr>
              <w:t xml:space="preserve"> </w:t>
            </w:r>
            <w:r>
              <w:rPr>
                <w:spacing w:val="25"/>
              </w:rPr>
              <w:t>，主要</w:t>
            </w:r>
            <w:r>
              <w:rPr>
                <w:spacing w:val="29"/>
              </w:rPr>
              <w:t>以现有方法组合或常规优化为主</w:t>
            </w:r>
            <w:r>
              <w:rPr>
                <w:spacing w:val="-65"/>
              </w:rPr>
              <w:t xml:space="preserve"> </w:t>
            </w:r>
            <w:r>
              <w:rPr>
                <w:spacing w:val="29"/>
              </w:rPr>
              <w:t>；应用场景结</w:t>
            </w:r>
            <w:r>
              <w:rPr>
                <w:spacing w:val="21"/>
              </w:rPr>
              <w:t>合不够紧密</w:t>
            </w:r>
            <w:r>
              <w:rPr>
                <w:spacing w:val="-73"/>
              </w:rPr>
              <w:t xml:space="preserve"> </w:t>
            </w:r>
            <w:r>
              <w:rPr>
                <w:spacing w:val="21"/>
              </w:rPr>
              <w:t>，实际推广价值相对有限。</w:t>
            </w:r>
          </w:p>
        </w:tc>
      </w:tr>
    </w:tbl>
    <w:p>
      <w:pPr>
        <w:ind w:left="766"/>
        <w:spacing w:before="161"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  <w:position w:val="1"/>
        </w:rPr>
        <w:t>七、作品提交时间</w:t>
      </w:r>
    </w:p>
    <w:p>
      <w:pPr>
        <w:pStyle w:val="BodyText"/>
        <w:ind w:left="127" w:right="114" w:firstLine="632"/>
        <w:spacing w:before="155" w:line="333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2026 </w:t>
      </w:r>
      <w:r>
        <w:rPr>
          <w:spacing w:val="5"/>
        </w:rPr>
        <w:t>年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5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5"/>
        </w:rPr>
        <w:t>月至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9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5"/>
        </w:rPr>
        <w:t>月上旬，各参赛团队选择榜单中的题目开</w:t>
      </w:r>
      <w:r>
        <w:rPr>
          <w:spacing w:val="13"/>
        </w:rPr>
        <w:t>展研发攻关，各高校、科研机构等组织协调机</w:t>
      </w:r>
      <w:r>
        <w:rPr>
          <w:spacing w:val="12"/>
        </w:rPr>
        <w:t>构应组织学生参</w:t>
      </w:r>
      <w:r>
        <w:rPr>
          <w:spacing w:val="9"/>
        </w:rPr>
        <w:t>赛，安排专业人员给予指导，为参赛团队提供支持保</w:t>
      </w:r>
      <w:r>
        <w:rPr>
          <w:spacing w:val="8"/>
        </w:rPr>
        <w:t>障。</w:t>
      </w:r>
    </w:p>
    <w:p>
      <w:pPr>
        <w:pStyle w:val="BodyText"/>
        <w:ind w:left="132" w:right="114" w:firstLine="627"/>
        <w:spacing w:before="2" w:line="333" w:lineRule="auto"/>
        <w:jc w:val="both"/>
        <w:rPr/>
      </w:pPr>
      <w:r>
        <w:rPr>
          <w:rFonts w:ascii="Times New Roman" w:hAnsi="Times New Roman" w:eastAsia="Times New Roman" w:cs="Times New Roman"/>
          <w:spacing w:val="3"/>
        </w:rPr>
        <w:t>2026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3"/>
        </w:rPr>
        <w:t>年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9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3"/>
        </w:rPr>
        <w:t>月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5  </w:t>
      </w:r>
      <w:r>
        <w:rPr>
          <w:spacing w:val="3"/>
        </w:rPr>
        <w:t>日前，各参赛团队要向钱学森实验室</w:t>
      </w:r>
      <w:r>
        <w:rPr>
          <w:spacing w:val="2"/>
        </w:rPr>
        <w:t>比赛专</w:t>
      </w:r>
      <w:r>
        <w:rPr>
          <w:spacing w:val="9"/>
        </w:rPr>
        <w:t>班完成作品提交，具体要求详见本方案第八点第（</w:t>
      </w:r>
      <w:r>
        <w:rPr>
          <w:spacing w:val="-59"/>
        </w:rPr>
        <w:t xml:space="preserve"> </w:t>
      </w:r>
      <w:r>
        <w:rPr>
          <w:spacing w:val="9"/>
        </w:rPr>
        <w:t>二）款，并</w:t>
      </w:r>
      <w:r>
        <w:rPr>
          <w:spacing w:val="7"/>
        </w:rPr>
        <w:t>严格遵照提交规范执行。</w:t>
      </w:r>
    </w:p>
    <w:p>
      <w:pPr>
        <w:pStyle w:val="BodyText"/>
        <w:ind w:left="134" w:right="26" w:firstLine="625"/>
        <w:spacing w:before="4" w:line="331" w:lineRule="auto"/>
        <w:rPr/>
      </w:pPr>
      <w:r>
        <w:rPr>
          <w:rFonts w:ascii="Times New Roman" w:hAnsi="Times New Roman" w:eastAsia="Times New Roman" w:cs="Times New Roman"/>
          <w:spacing w:val="1"/>
        </w:rPr>
        <w:t>2026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1"/>
        </w:rPr>
        <w:t>年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9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1"/>
        </w:rPr>
        <w:t>月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20  </w:t>
      </w:r>
      <w:r>
        <w:rPr>
          <w:spacing w:val="1"/>
        </w:rPr>
        <w:t>日前，由钱学森实验室比赛专班完成初审，</w:t>
      </w:r>
      <w:r>
        <w:rPr>
          <w:spacing w:val="8"/>
        </w:rPr>
        <w:t>确定入围终审擂台赛的晋级作品和团队。</w:t>
      </w:r>
    </w:p>
    <w:p>
      <w:pPr>
        <w:pStyle w:val="BodyText"/>
        <w:ind w:left="129" w:right="112" w:firstLine="629"/>
        <w:spacing w:before="9" w:line="331" w:lineRule="auto"/>
        <w:rPr/>
      </w:pPr>
      <w:r>
        <w:rPr>
          <w:rFonts w:ascii="Times New Roman" w:hAnsi="Times New Roman" w:eastAsia="Times New Roman" w:cs="Times New Roman"/>
        </w:rPr>
        <w:t>2026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/>
        <w:t>年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/>
        <w:t>月，钱学森实验室比赛专班安排专门团队提供帮</w:t>
      </w:r>
      <w:r>
        <w:rPr>
          <w:spacing w:val="8"/>
        </w:rPr>
        <w:t>助和指导，各晋级团队完善作品。</w:t>
      </w:r>
    </w:p>
    <w:p>
      <w:pPr>
        <w:pStyle w:val="BodyText"/>
        <w:ind w:left="759"/>
        <w:spacing w:before="6" w:line="409" w:lineRule="exact"/>
        <w:rPr/>
      </w:pPr>
      <w:r>
        <w:rPr>
          <w:rFonts w:ascii="Times New Roman" w:hAnsi="Times New Roman" w:eastAsia="Times New Roman" w:cs="Times New Roman"/>
          <w:spacing w:val="5"/>
          <w:position w:val="1"/>
        </w:rPr>
        <w:t>2026 </w:t>
      </w:r>
      <w:r>
        <w:rPr>
          <w:spacing w:val="5"/>
          <w:position w:val="1"/>
        </w:rPr>
        <w:t>年</w:t>
      </w:r>
      <w:r>
        <w:rPr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</w:rPr>
        <w:t>11</w:t>
      </w:r>
      <w:r>
        <w:rPr>
          <w:rFonts w:ascii="Times New Roman" w:hAnsi="Times New Roman" w:eastAsia="Times New Roman" w:cs="Times New Roman"/>
          <w:spacing w:val="31"/>
          <w:position w:val="1"/>
        </w:rPr>
        <w:t xml:space="preserve"> </w:t>
      </w:r>
      <w:r>
        <w:rPr>
          <w:spacing w:val="5"/>
          <w:position w:val="1"/>
        </w:rPr>
        <w:t>月，组织终审擂台赛，角逐“擂主”。</w:t>
      </w:r>
    </w:p>
    <w:p>
      <w:pPr>
        <w:ind w:left="762"/>
        <w:spacing w:before="141" w:line="413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  <w:position w:val="1"/>
        </w:rPr>
        <w:t>八、参赛报名及作品提交方式</w:t>
      </w:r>
    </w:p>
    <w:p>
      <w:pPr>
        <w:ind w:left="743"/>
        <w:spacing w:before="138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（一）报名方式</w:t>
      </w:r>
    </w:p>
    <w:p>
      <w:pPr>
        <w:pStyle w:val="BodyText"/>
        <w:ind w:left="129" w:right="112" w:firstLine="614"/>
        <w:spacing w:before="113" w:line="334" w:lineRule="auto"/>
        <w:jc w:val="both"/>
        <w:rPr/>
      </w:pPr>
      <w:r>
        <w:rPr>
          <w:spacing w:val="11"/>
        </w:rPr>
        <w:t>（</w:t>
      </w:r>
      <w:r>
        <w:rPr>
          <w:rFonts w:ascii="Times New Roman" w:hAnsi="Times New Roman" w:eastAsia="Times New Roman" w:cs="Times New Roman"/>
          <w:spacing w:val="11"/>
        </w:rPr>
        <w:t>1</w:t>
      </w:r>
      <w:r>
        <w:rPr>
          <w:spacing w:val="11"/>
        </w:rPr>
        <w:t>）参赛选手登录“挑战杯”官网</w:t>
      </w:r>
      <w:r>
        <w:rPr>
          <w:spacing w:val="-69"/>
        </w:rPr>
        <w:t xml:space="preserve"> </w:t>
      </w:r>
      <w:hyperlink w:history="true" r:id="rId12">
        <w:r>
          <w:rPr>
            <w:rFonts w:ascii="Times New Roman" w:hAnsi="Times New Roman" w:eastAsia="Times New Roman" w:cs="Times New Roman"/>
          </w:rPr>
          <w:t>www</w:t>
        </w:r>
        <w:r>
          <w:rPr>
            <w:rFonts w:ascii="Times New Roman" w:hAnsi="Times New Roman" w:eastAsia="Times New Roman" w:cs="Times New Roman"/>
            <w:spacing w:val="11"/>
          </w:rPr>
          <w:t>.</w:t>
        </w:r>
        <w:r>
          <w:rPr>
            <w:rFonts w:ascii="Times New Roman" w:hAnsi="Times New Roman" w:eastAsia="Times New Roman" w:cs="Times New Roman"/>
          </w:rPr>
          <w:t>tiaozhanbei</w:t>
        </w:r>
        <w:r>
          <w:rPr>
            <w:rFonts w:ascii="Times New Roman" w:hAnsi="Times New Roman" w:eastAsia="Times New Roman" w:cs="Times New Roman"/>
            <w:spacing w:val="11"/>
          </w:rPr>
          <w:t>.</w:t>
        </w:r>
        <w:r>
          <w:rPr>
            <w:rFonts w:ascii="Times New Roman" w:hAnsi="Times New Roman" w:eastAsia="Times New Roman" w:cs="Times New Roman"/>
          </w:rPr>
          <w:t>net</w:t>
        </w:r>
      </w:hyperlink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11"/>
        </w:rPr>
        <w:t>，</w:t>
      </w:r>
      <w:r>
        <w:rPr>
          <w:spacing w:val="12"/>
        </w:rPr>
        <w:t>在“揭榜挂帅”擂台赛报名入口注册账号，登录大赛申报系统</w:t>
      </w:r>
      <w:r>
        <w:rPr>
          <w:spacing w:val="13"/>
        </w:rPr>
        <w:t>在线填写报名信息。报名信息提交后，下载打</w:t>
      </w:r>
      <w:r>
        <w:rPr>
          <w:spacing w:val="12"/>
        </w:rPr>
        <w:t>印系统生成的报</w:t>
      </w:r>
      <w:r>
        <w:rPr/>
        <w:t>名表。</w:t>
      </w:r>
    </w:p>
    <w:p>
      <w:pPr>
        <w:spacing w:line="334" w:lineRule="auto"/>
        <w:sectPr>
          <w:footerReference w:type="default" r:id="rId11"/>
          <w:pgSz w:w="11906" w:h="16839"/>
          <w:pgMar w:top="1431" w:right="1474" w:bottom="1131" w:left="1474" w:header="0" w:footer="918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4" w:right="88" w:firstLine="606"/>
        <w:spacing w:before="101" w:line="332" w:lineRule="auto"/>
        <w:rPr/>
      </w:pPr>
      <w:r>
        <w:rPr>
          <w:spacing w:val="7"/>
        </w:rPr>
        <w:t>（</w:t>
      </w: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spacing w:val="7"/>
        </w:rPr>
        <w:t>）申报人在报名表对应位置加盖所在学校或所在单位公</w:t>
      </w:r>
      <w:r>
        <w:rPr>
          <w:spacing w:val="-8"/>
        </w:rPr>
        <w:t>章。</w:t>
      </w:r>
    </w:p>
    <w:p>
      <w:pPr>
        <w:pStyle w:val="BodyText"/>
        <w:ind w:left="28" w:right="88" w:firstLine="612"/>
        <w:spacing w:before="4" w:line="333" w:lineRule="auto"/>
        <w:rPr/>
      </w:pPr>
      <w:r>
        <w:rPr>
          <w:spacing w:val="7"/>
        </w:rPr>
        <w:t>（</w:t>
      </w:r>
      <w:r>
        <w:rPr>
          <w:rFonts w:ascii="Times New Roman" w:hAnsi="Times New Roman" w:eastAsia="Times New Roman" w:cs="Times New Roman"/>
          <w:spacing w:val="7"/>
        </w:rPr>
        <w:t>3</w:t>
      </w:r>
      <w:r>
        <w:rPr>
          <w:spacing w:val="7"/>
        </w:rPr>
        <w:t>）将盖章版报名表扫描件上传至报名系统，等待系统审</w:t>
      </w:r>
      <w:r>
        <w:rPr>
          <w:spacing w:val="12"/>
        </w:rPr>
        <w:t>核。请参赛选手注意查看审核状态，如审核不通过，需重新提</w:t>
      </w:r>
      <w:r>
        <w:rPr>
          <w:spacing w:val="-5"/>
        </w:rPr>
        <w:t>交。</w:t>
      </w:r>
    </w:p>
    <w:p>
      <w:pPr>
        <w:pStyle w:val="BodyText"/>
        <w:ind w:left="24" w:firstLine="616"/>
        <w:spacing w:before="2" w:line="327" w:lineRule="auto"/>
        <w:rPr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spacing w:val="-3"/>
        </w:rPr>
        <w:t>）系统开放报名时间为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2026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年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3"/>
        </w:rPr>
        <w:t>月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  </w:t>
      </w:r>
      <w:r>
        <w:rPr>
          <w:spacing w:val="-3"/>
        </w:rPr>
        <w:t>日—</w:t>
      </w: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3"/>
        </w:rPr>
        <w:t>月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  </w:t>
      </w:r>
      <w:r>
        <w:rPr>
          <w:spacing w:val="-4"/>
        </w:rPr>
        <w:t>日，</w:t>
      </w:r>
      <w:r>
        <w:rPr>
          <w:spacing w:val="8"/>
        </w:rPr>
        <w:t>逾期后系统将自动关闭报名功能。</w:t>
      </w:r>
    </w:p>
    <w:p>
      <w:pPr>
        <w:ind w:left="640"/>
        <w:spacing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0"/>
        </w:rPr>
        <w:t>（二）作品提交方式</w:t>
      </w:r>
    </w:p>
    <w:p>
      <w:pPr>
        <w:pStyle w:val="BodyText"/>
        <w:ind w:right="85" w:firstLine="670"/>
        <w:spacing w:before="114" w:line="333" w:lineRule="auto"/>
        <w:jc w:val="both"/>
        <w:rPr/>
      </w:pPr>
      <w:r>
        <w:rPr>
          <w:spacing w:val="6"/>
        </w:rPr>
        <w:t>请已在官网报名成功的团队，于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9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6"/>
        </w:rPr>
        <w:t>月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  </w:t>
      </w:r>
      <w:r>
        <w:rPr>
          <w:spacing w:val="6"/>
        </w:rPr>
        <w:t>日前将盖章的参赛</w:t>
      </w:r>
      <w:r>
        <w:rPr>
          <w:spacing w:val="10"/>
        </w:rPr>
        <w:t>申报表</w:t>
      </w:r>
      <w:r>
        <w:rPr>
          <w:rFonts w:ascii="Times New Roman" w:hAnsi="Times New Roman" w:eastAsia="Times New Roman" w:cs="Times New Roman"/>
        </w:rPr>
        <w:t>pdf</w:t>
      </w:r>
      <w:r>
        <w:rPr>
          <w:spacing w:val="10"/>
        </w:rPr>
        <w:t>、作品所有相关材料发送至发榜单位邮箱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188130707</w:t>
      </w:r>
      <w:r>
        <w:rPr>
          <w:rFonts w:ascii="Times New Roman" w:hAnsi="Times New Roman" w:eastAsia="Times New Roman" w:cs="Times New Roman"/>
        </w:rPr>
        <w:t xml:space="preserve"> </w:t>
      </w:r>
      <w:hyperlink w:history="true" r:id="rId14">
        <w:r>
          <w:rPr>
            <w:rFonts w:ascii="Times New Roman" w:hAnsi="Times New Roman" w:eastAsia="Times New Roman" w:cs="Times New Roman"/>
            <w:spacing w:val="8"/>
          </w:rPr>
          <w:t>72@163.</w:t>
        </w:r>
        <w:r>
          <w:rPr>
            <w:rFonts w:ascii="Times New Roman" w:hAnsi="Times New Roman" w:eastAsia="Times New Roman" w:cs="Times New Roman"/>
          </w:rPr>
          <w:t>com</w:t>
        </w:r>
      </w:hyperlink>
      <w:r>
        <w:rPr>
          <w:spacing w:val="8"/>
        </w:rPr>
        <w:t>。参赛团队请将作品相关文档材料、源代码和模型</w:t>
      </w:r>
      <w:r>
        <w:rPr>
          <w:spacing w:val="13"/>
        </w:rPr>
        <w:t>文件打包为压缩包格式，并标注好队伍名称信息。压缩包命名</w:t>
      </w:r>
      <w:r>
        <w:rPr>
          <w:spacing w:val="7"/>
        </w:rPr>
        <w:t>方式为：</w:t>
      </w:r>
      <w:r>
        <w:rPr>
          <w:spacing w:val="-86"/>
        </w:rPr>
        <w:t xml:space="preserve"> </w:t>
      </w:r>
      <w:r>
        <w:rPr>
          <w:spacing w:val="7"/>
        </w:rPr>
        <w:t>申报人所在单位－</w:t>
      </w:r>
      <w:r>
        <w:rPr>
          <w:spacing w:val="-44"/>
        </w:rPr>
        <w:t xml:space="preserve"> </w:t>
      </w:r>
      <w:r>
        <w:rPr>
          <w:spacing w:val="7"/>
        </w:rPr>
        <w:t>申报人姓名－作品名称－联系电话</w:t>
      </w:r>
      <w:r>
        <w:rPr>
          <w:spacing w:val="12"/>
        </w:rPr>
        <w:t>（例如：</w:t>
      </w:r>
      <w:r>
        <w:rPr>
          <w:rFonts w:ascii="Times New Roman" w:hAnsi="Times New Roman" w:eastAsia="Times New Roman" w:cs="Times New Roman"/>
        </w:rPr>
        <w:t>XX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12"/>
        </w:rPr>
        <w:t>大学－张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XX</w:t>
      </w:r>
      <w:r>
        <w:rPr>
          <w:spacing w:val="12"/>
        </w:rPr>
        <w:t>－</w:t>
      </w:r>
      <w:r>
        <w:rPr>
          <w:rFonts w:ascii="Times New Roman" w:hAnsi="Times New Roman" w:eastAsia="Times New Roman" w:cs="Times New Roman"/>
        </w:rPr>
        <w:t>XX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12"/>
        </w:rPr>
        <w:t>方案－手机号）。提交具</w:t>
      </w:r>
      <w:r>
        <w:rPr>
          <w:spacing w:val="11"/>
        </w:rPr>
        <w:t>体作</w:t>
      </w:r>
      <w:r>
        <w:rPr/>
        <w:t>品时，务必一并提交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/>
        <w:t>份报名系统中审核通过的参赛报</w:t>
      </w:r>
      <w:r>
        <w:rPr>
          <w:spacing w:val="-1"/>
        </w:rPr>
        <w:t>名表（所</w:t>
      </w:r>
      <w:r>
        <w:rPr>
          <w:spacing w:val="2"/>
        </w:rPr>
        <w:t>有信息与系统中填报信息保持严格一致）。以上材料无需在“挑</w:t>
      </w:r>
      <w:r>
        <w:rPr>
          <w:spacing w:val="9"/>
        </w:rPr>
        <w:t>战杯”官网提交。</w:t>
      </w:r>
    </w:p>
    <w:p>
      <w:pPr>
        <w:ind w:left="664"/>
        <w:spacing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九、赛事保障</w:t>
      </w:r>
    </w:p>
    <w:p>
      <w:pPr>
        <w:pStyle w:val="BodyText"/>
        <w:ind w:left="28" w:right="88" w:firstLine="639"/>
        <w:spacing w:before="156" w:line="333" w:lineRule="auto"/>
        <w:jc w:val="both"/>
        <w:rPr/>
      </w:pPr>
      <w:r>
        <w:rPr>
          <w:spacing w:val="13"/>
        </w:rPr>
        <w:t>本单位为参赛团队提供指导导师，介绍选题工程</w:t>
      </w:r>
      <w:r>
        <w:rPr>
          <w:spacing w:val="12"/>
        </w:rPr>
        <w:t>背景、技</w:t>
      </w:r>
      <w:r>
        <w:rPr>
          <w:spacing w:val="12"/>
        </w:rPr>
        <w:t>术细节，针对开发过程的疑问定期组织线上线下学术交流会和</w:t>
      </w:r>
      <w:r>
        <w:rPr>
          <w:spacing w:val="12"/>
        </w:rPr>
        <w:t>技术答疑支持，助力参赛者提升参赛效率。如有需要请联络钱</w:t>
      </w:r>
      <w:r>
        <w:rPr>
          <w:spacing w:val="8"/>
        </w:rPr>
        <w:t>学森实验室技术支持团队（联系方式后附）。</w:t>
      </w:r>
    </w:p>
    <w:p>
      <w:pPr>
        <w:spacing w:line="333" w:lineRule="auto"/>
        <w:sectPr>
          <w:footerReference w:type="default" r:id="rId13"/>
          <w:pgSz w:w="11906" w:h="16839"/>
          <w:pgMar w:top="1431" w:right="1500" w:bottom="1135" w:left="1577" w:header="0" w:footer="918" w:gutter="0"/>
        </w:sectPr>
        <w:rPr/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644"/>
        <w:spacing w:before="101"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十、设奖情况及奖励措施</w:t>
      </w:r>
    </w:p>
    <w:p>
      <w:pPr>
        <w:ind w:left="614"/>
        <w:spacing w:before="136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（一）设奖情况</w:t>
      </w:r>
    </w:p>
    <w:p>
      <w:pPr>
        <w:pStyle w:val="BodyText"/>
        <w:ind w:left="640"/>
        <w:spacing w:before="118" w:line="411" w:lineRule="exact"/>
        <w:rPr/>
      </w:pPr>
      <w:r>
        <w:rPr>
          <w:spacing w:val="7"/>
          <w:position w:val="1"/>
        </w:rPr>
        <w:t>本题目只设学生赛道。</w:t>
      </w:r>
    </w:p>
    <w:p>
      <w:pPr>
        <w:pStyle w:val="BodyText"/>
        <w:ind w:right="262" w:firstLine="635"/>
        <w:spacing w:before="149" w:line="329" w:lineRule="auto"/>
        <w:rPr/>
      </w:pPr>
      <w:r>
        <w:rPr>
          <w:spacing w:val="4"/>
        </w:rPr>
        <w:t>该榜题设擂主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4"/>
        </w:rPr>
        <w:t>名、特等奖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5 </w:t>
      </w:r>
      <w:r>
        <w:rPr>
          <w:spacing w:val="4"/>
        </w:rPr>
        <w:t>个、一等奖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5 </w:t>
      </w:r>
      <w:r>
        <w:rPr>
          <w:spacing w:val="4"/>
        </w:rPr>
        <w:t>个、二等奖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5</w:t>
      </w:r>
      <w:r>
        <w:rPr>
          <w:spacing w:val="6"/>
        </w:rPr>
        <w:t>个、三等奖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 </w:t>
      </w:r>
      <w:r>
        <w:rPr>
          <w:spacing w:val="6"/>
        </w:rPr>
        <w:t>个。最终授奖数量视作品申报数量和质量情况，</w:t>
      </w:r>
      <w:r>
        <w:rPr>
          <w:spacing w:val="7"/>
        </w:rPr>
        <w:t>报组委会同意后动态调整。</w:t>
      </w:r>
    </w:p>
    <w:p>
      <w:pPr>
        <w:ind w:left="614"/>
        <w:spacing w:before="1" w:line="20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（二）</w:t>
      </w:r>
      <w:r>
        <w:rPr>
          <w:rFonts w:ascii="Microsoft YaHei" w:hAnsi="Microsoft YaHei" w:eastAsia="Microsoft YaHei" w:cs="Microsoft YaHei"/>
          <w:sz w:val="31"/>
          <w:szCs w:val="31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奖励措施</w:t>
      </w:r>
    </w:p>
    <w:p>
      <w:pPr>
        <w:pStyle w:val="BodyText"/>
        <w:ind w:right="129" w:firstLine="668"/>
        <w:spacing w:before="115" w:line="334" w:lineRule="auto"/>
        <w:rPr/>
      </w:pPr>
      <w:r>
        <w:rPr>
          <w:spacing w:val="11"/>
        </w:rPr>
        <w:t>“</w:t>
      </w:r>
      <w:r>
        <w:rPr>
          <w:spacing w:val="-95"/>
        </w:rPr>
        <w:t xml:space="preserve"> </w:t>
      </w:r>
      <w:r>
        <w:rPr>
          <w:spacing w:val="11"/>
        </w:rPr>
        <w:t>擂主</w:t>
      </w:r>
      <w:r>
        <w:rPr>
          <w:spacing w:val="-108"/>
        </w:rPr>
        <w:t xml:space="preserve"> </w:t>
      </w:r>
      <w:r>
        <w:rPr>
          <w:spacing w:val="11"/>
        </w:rPr>
        <w:t>”</w:t>
      </w:r>
      <w:r>
        <w:rPr>
          <w:spacing w:val="-105"/>
        </w:rPr>
        <w:t xml:space="preserve"> </w:t>
      </w:r>
      <w:r>
        <w:rPr>
          <w:spacing w:val="11"/>
        </w:rPr>
        <w:t>：设税后奖金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10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11"/>
        </w:rPr>
        <w:t>万元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>
          <w:spacing w:val="11"/>
        </w:rPr>
        <w:t>人</w:t>
      </w:r>
      <w:r>
        <w:rPr>
          <w:spacing w:val="-77"/>
        </w:rPr>
        <w:t xml:space="preserve"> </w:t>
      </w:r>
      <w:r>
        <w:rPr>
          <w:spacing w:val="11"/>
        </w:rPr>
        <w:t>，颁发荣誉证书及奖</w:t>
      </w:r>
      <w:r>
        <w:rPr>
          <w:spacing w:val="-5"/>
        </w:rPr>
        <w:t>杯。</w:t>
      </w:r>
    </w:p>
    <w:p>
      <w:pPr>
        <w:pStyle w:val="BodyText"/>
        <w:ind w:left="694" w:hanging="14"/>
        <w:spacing w:before="1" w:line="333" w:lineRule="auto"/>
        <w:jc w:val="both"/>
        <w:rPr/>
      </w:pPr>
      <w:r>
        <w:rPr>
          <w:spacing w:val="15"/>
        </w:rPr>
        <w:t>特等奖</w:t>
      </w:r>
      <w:r>
        <w:rPr>
          <w:spacing w:val="-75"/>
        </w:rPr>
        <w:t xml:space="preserve"> </w:t>
      </w:r>
      <w:r>
        <w:rPr>
          <w:spacing w:val="15"/>
        </w:rPr>
        <w:t>：设税后奖金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2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15"/>
        </w:rPr>
        <w:t>万元</w:t>
      </w:r>
      <w:r>
        <w:rPr>
          <w:rFonts w:ascii="Times New Roman" w:hAnsi="Times New Roman" w:eastAsia="Times New Roman" w:cs="Times New Roman"/>
          <w:spacing w:val="15"/>
        </w:rPr>
        <w:t>/</w:t>
      </w:r>
      <w:r>
        <w:rPr>
          <w:spacing w:val="15"/>
        </w:rPr>
        <w:t>人</w:t>
      </w:r>
      <w:r>
        <w:rPr>
          <w:spacing w:val="-77"/>
        </w:rPr>
        <w:t xml:space="preserve"> </w:t>
      </w:r>
      <w:r>
        <w:rPr>
          <w:spacing w:val="15"/>
        </w:rPr>
        <w:t>，颁发荣誉证书及奖</w:t>
      </w:r>
      <w:r>
        <w:rPr>
          <w:spacing w:val="14"/>
        </w:rPr>
        <w:t>杯。</w:t>
      </w:r>
      <w:r>
        <w:rPr>
          <w:spacing w:val="12"/>
        </w:rPr>
        <w:t>一等奖</w:t>
      </w:r>
      <w:r>
        <w:rPr>
          <w:spacing w:val="-71"/>
        </w:rPr>
        <w:t xml:space="preserve"> </w:t>
      </w:r>
      <w:r>
        <w:rPr>
          <w:spacing w:val="12"/>
        </w:rPr>
        <w:t>：设税后奖金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12"/>
        </w:rPr>
        <w:t>万元</w:t>
      </w:r>
      <w:r>
        <w:rPr>
          <w:rFonts w:ascii="Times New Roman" w:hAnsi="Times New Roman" w:eastAsia="Times New Roman" w:cs="Times New Roman"/>
          <w:spacing w:val="12"/>
        </w:rPr>
        <w:t>/</w:t>
      </w:r>
      <w:r>
        <w:rPr>
          <w:spacing w:val="12"/>
        </w:rPr>
        <w:t>人</w:t>
      </w:r>
      <w:r>
        <w:rPr>
          <w:spacing w:val="-77"/>
        </w:rPr>
        <w:t xml:space="preserve"> </w:t>
      </w:r>
      <w:r>
        <w:rPr>
          <w:spacing w:val="12"/>
        </w:rPr>
        <w:t>，颁发荣誉证书及奖杯。</w:t>
      </w:r>
      <w:r>
        <w:rPr>
          <w:spacing w:val="13"/>
        </w:rPr>
        <w:t>二等奖</w:t>
      </w:r>
      <w:r>
        <w:rPr>
          <w:rFonts w:ascii="Times New Roman" w:hAnsi="Times New Roman" w:eastAsia="Times New Roman" w:cs="Times New Roman"/>
          <w:spacing w:val="13"/>
        </w:rPr>
        <w:t>/</w:t>
      </w:r>
      <w:r>
        <w:rPr>
          <w:spacing w:val="13"/>
        </w:rPr>
        <w:t>三等奖</w:t>
      </w:r>
      <w:r>
        <w:rPr>
          <w:spacing w:val="-69"/>
        </w:rPr>
        <w:t xml:space="preserve"> </w:t>
      </w:r>
      <w:r>
        <w:rPr>
          <w:spacing w:val="13"/>
        </w:rPr>
        <w:t>：设税后奖金每人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5000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13"/>
        </w:rPr>
        <w:t>元</w:t>
      </w:r>
      <w:r>
        <w:rPr>
          <w:rFonts w:ascii="Times New Roman" w:hAnsi="Times New Roman" w:eastAsia="Times New Roman" w:cs="Times New Roman"/>
          <w:spacing w:val="13"/>
        </w:rPr>
        <w:t>/2000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13"/>
        </w:rPr>
        <w:t>元</w:t>
      </w:r>
      <w:r>
        <w:rPr>
          <w:spacing w:val="-77"/>
        </w:rPr>
        <w:t xml:space="preserve"> </w:t>
      </w:r>
      <w:r>
        <w:rPr>
          <w:spacing w:val="13"/>
        </w:rPr>
        <w:t>，颁</w:t>
      </w:r>
    </w:p>
    <w:p>
      <w:pPr>
        <w:pStyle w:val="BodyText"/>
        <w:ind w:left="2"/>
        <w:spacing w:before="2" w:line="411" w:lineRule="exact"/>
        <w:rPr/>
      </w:pPr>
      <w:r>
        <w:rPr>
          <w:spacing w:val="22"/>
          <w:position w:val="1"/>
        </w:rPr>
        <w:t>发荣誉证书及奖杯。</w:t>
      </w:r>
    </w:p>
    <w:p>
      <w:pPr>
        <w:pStyle w:val="BodyText"/>
        <w:ind w:left="9" w:right="129" w:firstLine="672"/>
        <w:spacing w:before="148" w:line="333" w:lineRule="auto"/>
        <w:jc w:val="both"/>
        <w:rPr/>
      </w:pPr>
      <w:r>
        <w:rPr>
          <w:spacing w:val="17"/>
        </w:rPr>
        <w:t>揭榜本选题并获得名次（</w:t>
      </w:r>
      <w:r>
        <w:rPr>
          <w:spacing w:val="-57"/>
        </w:rPr>
        <w:t xml:space="preserve"> </w:t>
      </w:r>
      <w:r>
        <w:rPr>
          <w:spacing w:val="17"/>
        </w:rPr>
        <w:t>奖项</w:t>
      </w:r>
      <w:r>
        <w:rPr>
          <w:spacing w:val="-91"/>
        </w:rPr>
        <w:t xml:space="preserve"> </w:t>
      </w:r>
      <w:r>
        <w:rPr>
          <w:spacing w:val="17"/>
        </w:rPr>
        <w:t>）的团队有机会优先取得</w:t>
      </w:r>
      <w:r>
        <w:rPr>
          <w:spacing w:val="24"/>
        </w:rPr>
        <w:t>到企业实习的机会。特等奖团队获奖人员符合单位招聘要求</w:t>
      </w:r>
      <w:r>
        <w:rPr>
          <w:spacing w:val="16"/>
        </w:rPr>
        <w:t>的直接开放求职</w:t>
      </w:r>
      <w:r>
        <w:rPr>
          <w:spacing w:val="-117"/>
        </w:rPr>
        <w:t xml:space="preserve"> </w:t>
      </w:r>
      <w:r>
        <w:rPr>
          <w:spacing w:val="16"/>
        </w:rPr>
        <w:t>“</w:t>
      </w:r>
      <w:r>
        <w:rPr>
          <w:spacing w:val="-105"/>
        </w:rPr>
        <w:t xml:space="preserve"> </w:t>
      </w:r>
      <w:r>
        <w:rPr>
          <w:spacing w:val="16"/>
        </w:rPr>
        <w:t>绿色通道</w:t>
      </w:r>
      <w:r>
        <w:rPr>
          <w:spacing w:val="-111"/>
        </w:rPr>
        <w:t xml:space="preserve"> </w:t>
      </w:r>
      <w:r>
        <w:rPr>
          <w:spacing w:val="16"/>
        </w:rPr>
        <w:t>”。</w:t>
      </w:r>
    </w:p>
    <w:p>
      <w:pPr>
        <w:ind w:left="636"/>
        <w:spacing w:before="18" w:line="17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3.</w:t>
      </w:r>
      <w:r>
        <w:rPr>
          <w:rFonts w:ascii="Times New Roman" w:hAnsi="Times New Roman" w:eastAsia="Times New Roman" w:cs="Times New Roman"/>
          <w:sz w:val="31"/>
          <w:szCs w:val="31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奖金发放方式</w:t>
      </w:r>
    </w:p>
    <w:p>
      <w:pPr>
        <w:pStyle w:val="BodyText"/>
        <w:ind w:left="1" w:right="129" w:firstLine="712"/>
        <w:spacing w:before="157" w:line="332" w:lineRule="auto"/>
        <w:rPr/>
      </w:pPr>
      <w:r>
        <w:rPr>
          <w:spacing w:val="22"/>
        </w:rPr>
        <w:t>比赛结束后，钱学森实验室比赛专班工作人员与获奖团</w:t>
      </w:r>
      <w:r>
        <w:rPr>
          <w:spacing w:val="24"/>
        </w:rPr>
        <w:t>队取得联系，填写奖金申请表，待获奖团队提供银行卡详细</w:t>
      </w:r>
      <w:r>
        <w:rPr>
          <w:spacing w:val="19"/>
        </w:rPr>
        <w:t>信息后</w:t>
      </w:r>
      <w:r>
        <w:rPr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1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19"/>
        </w:rPr>
        <w:t>个季度内，将奖金一次性发放至获奖团队提供的银</w:t>
      </w:r>
      <w:r>
        <w:rPr>
          <w:spacing w:val="12"/>
        </w:rPr>
        <w:t>行卡中。</w:t>
      </w:r>
    </w:p>
    <w:p>
      <w:pPr>
        <w:ind w:left="644"/>
        <w:spacing w:line="414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十一、比赛专班联系方式</w:t>
      </w:r>
    </w:p>
    <w:p>
      <w:pPr>
        <w:spacing w:line="414" w:lineRule="exact"/>
        <w:sectPr>
          <w:footerReference w:type="default" r:id="rId15"/>
          <w:pgSz w:w="11906" w:h="16839"/>
          <w:pgMar w:top="1431" w:right="1477" w:bottom="1135" w:left="1603" w:header="0" w:footer="918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78"/>
        <w:spacing w:before="100" w:line="413" w:lineRule="exact"/>
        <w:rPr/>
      </w:pPr>
      <w:r>
        <w:rPr>
          <w:rFonts w:ascii="Times New Roman" w:hAnsi="Times New Roman" w:eastAsia="Times New Roman" w:cs="Times New Roman"/>
          <w:position w:val="1"/>
        </w:rPr>
        <w:t>1.</w:t>
      </w:r>
      <w:r>
        <w:rPr>
          <w:rFonts w:ascii="Times New Roman" w:hAnsi="Times New Roman" w:eastAsia="Times New Roman" w:cs="Times New Roman"/>
          <w:spacing w:val="17"/>
          <w:position w:val="1"/>
        </w:rPr>
        <w:t xml:space="preserve">  </w:t>
      </w:r>
      <w:r>
        <w:rPr>
          <w:position w:val="1"/>
        </w:rPr>
        <w:t>专家指导团队</w:t>
      </w:r>
    </w:p>
    <w:p>
      <w:pPr>
        <w:pStyle w:val="BodyText"/>
        <w:ind w:left="478" w:right="1850" w:hanging="16"/>
        <w:spacing w:before="146" w:line="333" w:lineRule="auto"/>
        <w:rPr/>
      </w:pPr>
      <w:r>
        <w:rPr>
          <w:spacing w:val="7"/>
        </w:rPr>
        <w:t>顾问专家：江老师，联系电话：</w:t>
      </w:r>
      <w:r>
        <w:rPr>
          <w:rFonts w:ascii="Times New Roman" w:hAnsi="Times New Roman" w:eastAsia="Times New Roman" w:cs="Times New Roman"/>
          <w:spacing w:val="7"/>
        </w:rPr>
        <w:t>18813070772</w:t>
      </w:r>
      <w:r>
        <w:rPr>
          <w:spacing w:val="6"/>
        </w:rPr>
        <w:t>负责比赛期间技术指导保障。</w:t>
      </w:r>
    </w:p>
    <w:p>
      <w:pPr>
        <w:pStyle w:val="BodyText"/>
        <w:ind w:left="447"/>
        <w:spacing w:before="2" w:line="412" w:lineRule="exact"/>
        <w:rPr/>
      </w:pPr>
      <w:r>
        <w:rPr>
          <w:rFonts w:ascii="Times New Roman" w:hAnsi="Times New Roman" w:eastAsia="Times New Roman" w:cs="Times New Roman"/>
          <w:spacing w:val="6"/>
          <w:position w:val="1"/>
        </w:rPr>
        <w:t>2.  </w:t>
      </w:r>
      <w:r>
        <w:rPr>
          <w:spacing w:val="6"/>
          <w:position w:val="1"/>
        </w:rPr>
        <w:t>赛事服务团队</w:t>
      </w:r>
    </w:p>
    <w:p>
      <w:pPr>
        <w:pStyle w:val="BodyText"/>
        <w:ind w:left="478" w:hanging="22"/>
        <w:spacing w:before="148" w:line="333" w:lineRule="auto"/>
        <w:rPr/>
      </w:pPr>
      <w:r>
        <w:rPr>
          <w:spacing w:val="-2"/>
        </w:rPr>
        <w:t>联络专员：冯老师，联系电话：</w:t>
      </w:r>
      <w:r>
        <w:rPr>
          <w:rFonts w:ascii="Times New Roman" w:hAnsi="Times New Roman" w:eastAsia="Times New Roman" w:cs="Times New Roman"/>
          <w:spacing w:val="-2"/>
        </w:rPr>
        <w:t>010-68113034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18811731028</w:t>
      </w:r>
      <w:r>
        <w:rPr>
          <w:spacing w:val="7"/>
        </w:rPr>
        <w:t>负责比赛期间组织服务及后期相关赛务协调联络。</w:t>
      </w:r>
    </w:p>
    <w:p>
      <w:pPr>
        <w:pStyle w:val="BodyText"/>
        <w:ind w:left="454"/>
        <w:spacing w:before="1" w:line="413" w:lineRule="exact"/>
        <w:rPr/>
      </w:pPr>
      <w:r>
        <w:rPr>
          <w:rFonts w:ascii="Times New Roman" w:hAnsi="Times New Roman" w:eastAsia="Times New Roman" w:cs="Times New Roman"/>
          <w:spacing w:val="3"/>
          <w:position w:val="1"/>
        </w:rPr>
        <w:t>3.</w:t>
      </w:r>
      <w:r>
        <w:rPr>
          <w:rFonts w:ascii="Times New Roman" w:hAnsi="Times New Roman" w:eastAsia="Times New Roman" w:cs="Times New Roman"/>
          <w:spacing w:val="10"/>
          <w:position w:val="1"/>
        </w:rPr>
        <w:t xml:space="preserve">  </w:t>
      </w:r>
      <w:r>
        <w:rPr>
          <w:spacing w:val="3"/>
          <w:position w:val="1"/>
        </w:rPr>
        <w:t>联系时间</w:t>
      </w:r>
    </w:p>
    <w:p>
      <w:pPr>
        <w:pStyle w:val="BodyText"/>
        <w:ind w:left="491"/>
        <w:spacing w:before="146" w:line="408" w:lineRule="exact"/>
        <w:rPr/>
      </w:pPr>
      <w:r>
        <w:rPr>
          <w:spacing w:val="-2"/>
          <w:position w:val="1"/>
        </w:rPr>
        <w:t>比赛期间工作</w:t>
      </w:r>
      <w:r>
        <w:rPr>
          <w:spacing w:val="-62"/>
          <w:position w:val="1"/>
        </w:rPr>
        <w:t xml:space="preserve"> </w:t>
      </w:r>
      <w:r>
        <w:rPr>
          <w:spacing w:val="-2"/>
          <w:position w:val="1"/>
        </w:rPr>
        <w:t>日（</w:t>
      </w:r>
      <w:r>
        <w:rPr>
          <w:rFonts w:ascii="Times New Roman" w:hAnsi="Times New Roman" w:eastAsia="Times New Roman" w:cs="Times New Roman"/>
          <w:spacing w:val="-2"/>
          <w:position w:val="1"/>
        </w:rPr>
        <w:t>9:00-</w:t>
      </w:r>
      <w:r>
        <w:rPr>
          <w:rFonts w:ascii="Times New Roman" w:hAnsi="Times New Roman" w:eastAsia="Times New Roman" w:cs="Times New Roman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</w:rPr>
        <w:t>17:00</w:t>
      </w:r>
      <w:r>
        <w:rPr>
          <w:spacing w:val="-2"/>
          <w:position w:val="1"/>
        </w:rPr>
        <w:t>）</w:t>
      </w:r>
    </w:p>
    <w:p>
      <w:pPr>
        <w:spacing w:line="408" w:lineRule="exact"/>
        <w:sectPr>
          <w:footerReference w:type="default" r:id="rId16"/>
          <w:pgSz w:w="11906" w:h="16839"/>
          <w:pgMar w:top="1431" w:right="1587" w:bottom="1135" w:left="1785" w:header="0" w:footer="918" w:gutter="0"/>
        </w:sectPr>
        <w:rPr/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4"/>
        <w:spacing w:before="101" w:line="414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  <w:position w:val="1"/>
        </w:rPr>
        <w:t>附：发榜单位简介</w:t>
      </w:r>
    </w:p>
    <w:p>
      <w:pPr>
        <w:pStyle w:val="BodyText"/>
        <w:ind w:firstLine="639"/>
        <w:spacing w:before="169" w:line="333" w:lineRule="auto"/>
        <w:jc w:val="both"/>
        <w:rPr/>
      </w:pPr>
      <w:r>
        <w:rPr>
          <w:spacing w:val="7"/>
        </w:rPr>
        <w:t>钱学森空间技术实验室成立于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2011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7"/>
        </w:rPr>
        <w:t>年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12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7"/>
        </w:rPr>
        <w:t>月，是集多重国</w:t>
      </w:r>
      <w:r>
        <w:rPr>
          <w:spacing w:val="5"/>
        </w:rPr>
        <w:t>家级战略平台于一体的创新核心载体，是国防科工局</w:t>
      </w:r>
      <w:r>
        <w:rPr>
          <w:rFonts w:ascii="Times New Roman" w:hAnsi="Times New Roman" w:eastAsia="Times New Roman" w:cs="Times New Roman"/>
          <w:spacing w:val="5"/>
        </w:rPr>
        <w:t>“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5"/>
        </w:rPr>
        <w:t>国防科技</w:t>
      </w:r>
      <w:r>
        <w:rPr>
          <w:spacing w:val="5"/>
        </w:rPr>
        <w:t>工业空间技术创新中心</w:t>
      </w:r>
      <w:r>
        <w:rPr>
          <w:rFonts w:ascii="Times New Roman" w:hAnsi="Times New Roman" w:eastAsia="Times New Roman" w:cs="Times New Roman"/>
          <w:spacing w:val="5"/>
        </w:rPr>
        <w:t>”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5"/>
        </w:rPr>
        <w:t>、军委科技委首个</w:t>
      </w:r>
      <w:r>
        <w:rPr>
          <w:rFonts w:ascii="Times New Roman" w:hAnsi="Times New Roman" w:eastAsia="Times New Roman" w:cs="Times New Roman"/>
          <w:spacing w:val="5"/>
        </w:rPr>
        <w:t>“</w:t>
      </w:r>
      <w:r>
        <w:rPr>
          <w:rFonts w:ascii="Times New Roman" w:hAnsi="Times New Roman" w:eastAsia="Times New Roman" w:cs="Times New Roman"/>
          <w:spacing w:val="-57"/>
        </w:rPr>
        <w:t xml:space="preserve"> </w:t>
      </w:r>
      <w:r>
        <w:rPr>
          <w:spacing w:val="5"/>
        </w:rPr>
        <w:t>创新工作站</w:t>
      </w:r>
      <w:r>
        <w:rPr>
          <w:rFonts w:ascii="Times New Roman" w:hAnsi="Times New Roman" w:eastAsia="Times New Roman" w:cs="Times New Roman"/>
          <w:spacing w:val="5"/>
        </w:rPr>
        <w:t>”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5"/>
        </w:rPr>
        <w:t>、航天</w:t>
      </w:r>
      <w:r>
        <w:rPr>
          <w:spacing w:val="10"/>
        </w:rPr>
        <w:t>科技集团公司</w:t>
      </w:r>
      <w:r>
        <w:rPr>
          <w:rFonts w:ascii="Times New Roman" w:hAnsi="Times New Roman" w:eastAsia="Times New Roman" w:cs="Times New Roman"/>
          <w:spacing w:val="10"/>
        </w:rPr>
        <w:t>“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0"/>
        </w:rPr>
        <w:t>系统发展研究中心</w:t>
      </w:r>
      <w:r>
        <w:rPr>
          <w:rFonts w:ascii="Times New Roman" w:hAnsi="Times New Roman" w:eastAsia="Times New Roman" w:cs="Times New Roman"/>
          <w:spacing w:val="10"/>
        </w:rPr>
        <w:t>”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0"/>
        </w:rPr>
        <w:t>，是航天五院的研发中心、</w:t>
      </w:r>
      <w:r>
        <w:rPr>
          <w:spacing w:val="6"/>
        </w:rPr>
        <w:t>人工智能工程中心。作为五院</w:t>
      </w:r>
      <w:r>
        <w:rPr>
          <w:rFonts w:ascii="Times New Roman" w:hAnsi="Times New Roman" w:eastAsia="Times New Roman" w:cs="Times New Roman"/>
          <w:spacing w:val="6"/>
        </w:rPr>
        <w:t>“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创新高地、发展引擎、改革示范</w:t>
      </w:r>
      <w:r>
        <w:rPr>
          <w:spacing w:val="5"/>
        </w:rPr>
        <w:t>区</w:t>
      </w:r>
      <w:r>
        <w:rPr>
          <w:rFonts w:ascii="Times New Roman" w:hAnsi="Times New Roman" w:eastAsia="Times New Roman" w:cs="Times New Roman"/>
          <w:spacing w:val="5"/>
        </w:rPr>
        <w:t>”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5"/>
        </w:rPr>
        <w:t>，负责五院战略规划与体系论证、数智赋能航天器发展、阶</w:t>
      </w:r>
      <w:r>
        <w:rPr>
          <w:spacing w:val="9"/>
        </w:rPr>
        <w:t>跃跨域新系统开发、未来产业及前沿技术研究。</w:t>
      </w:r>
      <w:r>
        <w:rPr>
          <w:spacing w:val="-56"/>
        </w:rPr>
        <w:t xml:space="preserve"> </w:t>
      </w:r>
      <w:r>
        <w:rPr>
          <w:spacing w:val="9"/>
        </w:rPr>
        <w:t>目前实验室员</w:t>
      </w:r>
      <w:r>
        <w:rPr>
          <w:spacing w:val="10"/>
        </w:rPr>
        <w:t>工总数</w:t>
      </w:r>
      <w:r>
        <w:rPr>
          <w:rFonts w:ascii="Times New Roman" w:hAnsi="Times New Roman" w:eastAsia="Times New Roman" w:cs="Times New Roman"/>
          <w:spacing w:val="10"/>
        </w:rPr>
        <w:t>220 </w:t>
      </w:r>
      <w:r>
        <w:rPr>
          <w:spacing w:val="10"/>
        </w:rPr>
        <w:t>余人，高级工程师及以上职称占比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70%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0"/>
        </w:rPr>
        <w:t>，累计享受</w:t>
      </w:r>
      <w:r>
        <w:rPr>
          <w:spacing w:val="2"/>
        </w:rPr>
        <w:t>政府特殊津贴专家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6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2"/>
        </w:rPr>
        <w:t>名，国家级专家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2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2"/>
        </w:rPr>
        <w:t>名，集团级专家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10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2"/>
        </w:rPr>
        <w:t>名。</w:t>
      </w:r>
      <w:r>
        <w:rPr>
          <w:spacing w:val="12"/>
        </w:rPr>
        <w:t>实验室在人工智能领域聚焦空间飞行器智能化发展需求，持续</w:t>
      </w:r>
      <w:r>
        <w:rPr>
          <w:spacing w:val="12"/>
        </w:rPr>
        <w:t>开展星载智能图像处理、星载智能信息系统、多模态遥感大模</w:t>
      </w:r>
      <w:r>
        <w:rPr>
          <w:spacing w:val="12"/>
        </w:rPr>
        <w:t>型等技术攻关与工程应用，构建了高性能计算集群，积累了丰</w:t>
      </w:r>
      <w:r>
        <w:rPr>
          <w:spacing w:val="12"/>
        </w:rPr>
        <w:t>富了遥感图像数据，可为本选题的落地实施提供有力的技术支</w:t>
      </w:r>
      <w:r>
        <w:rPr>
          <w:spacing w:val="-5"/>
        </w:rPr>
        <w:t>撑。</w:t>
      </w:r>
    </w:p>
    <w:sectPr>
      <w:footerReference w:type="default" r:id="rId17"/>
      <w:pgSz w:w="11906" w:h="16839"/>
      <w:pgMar w:top="1431" w:right="1559" w:bottom="1135" w:left="1603" w:header="0" w:footer="91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1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8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3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9"/>
      <w:spacing w:line="17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8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6"/>
      <w:spacing w:line="17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7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1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6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15"/>
      </w:rPr>
      <w:t>11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yperlink" Target="https://github.com/Chen-Yang-Liu/LEVIR-CC-Dat" TargetMode="External"/><Relationship Id="rId6" Type="http://schemas.openxmlformats.org/officeDocument/2006/relationships/hyperlink" Target="https://arxiv.org/abs/2503.23771" TargetMode="External"/><Relationship Id="rId5" Type="http://schemas.openxmlformats.org/officeDocument/2006/relationships/hyperlink" Target="https://arxiv.org/abs/2408.1" TargetMode="External"/><Relationship Id="rId4" Type="http://schemas.openxmlformats.org/officeDocument/2006/relationships/hyperlink" Target="https://arxiv.org/abs" TargetMode="External"/><Relationship Id="rId3" Type="http://schemas.openxmlformats.org/officeDocument/2006/relationships/footer" Target="footer3.xml"/><Relationship Id="rId20" Type="http://schemas.openxmlformats.org/officeDocument/2006/relationships/fontTable" Target="fontTable.xml"/><Relationship Id="rId2" Type="http://schemas.openxmlformats.org/officeDocument/2006/relationships/footer" Target="footer2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hyperlink" Target="72@163.com" TargetMode="External"/><Relationship Id="rId13" Type="http://schemas.openxmlformats.org/officeDocument/2006/relationships/footer" Target="footer8.xml"/><Relationship Id="rId12" Type="http://schemas.openxmlformats.org/officeDocument/2006/relationships/hyperlink" Target="https://www.tiaozhanbei.net" TargetMode="Externa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用户D</dc:creator>
  <dcterms:created xsi:type="dcterms:W3CDTF">2026-04-24T19:25:07Z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2026-06-24T00:55:11</vt:filetime>
  </property>
</Properties>
</file>