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2011E1">
      <w:pPr>
        <w:jc w:val="center"/>
        <w:rPr>
          <w:rFonts w:hint="eastAsia" w:ascii="微软雅黑 Light" w:hAnsi="微软雅黑 Light" w:eastAsia="微软雅黑 Light" w:cs="微软雅黑 Light"/>
          <w:sz w:val="28"/>
          <w:szCs w:val="36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28"/>
          <w:szCs w:val="36"/>
          <w:lang w:val="en-US" w:eastAsia="zh-CN"/>
        </w:rPr>
        <w:t>当代人工智能Lab1</w:t>
      </w:r>
    </w:p>
    <w:p w14:paraId="7C4782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jc w:val="both"/>
        <w:textAlignment w:val="auto"/>
        <w:rPr>
          <w:rFonts w:hint="default" w:ascii="微软雅黑 Light" w:hAnsi="微软雅黑 Light" w:eastAsia="微软雅黑 Light" w:cs="微软雅黑 Light"/>
          <w:sz w:val="21"/>
          <w:szCs w:val="21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21"/>
          <w:szCs w:val="21"/>
          <w:lang w:val="en-US" w:eastAsia="zh-CN"/>
        </w:rPr>
        <w:t>姓名：李昕芮    学号：10243330406</w:t>
      </w:r>
    </w:p>
    <w:p w14:paraId="62F0EA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jc w:val="left"/>
        <w:textAlignment w:val="auto"/>
        <w:rPr>
          <w:rFonts w:hint="eastAsia" w:ascii="微软雅黑 Light" w:hAnsi="微软雅黑 Light" w:eastAsia="微软雅黑 Light" w:cs="微软雅黑 Light"/>
          <w:i/>
          <w:iCs/>
          <w:color w:val="2E54A1" w:themeColor="accent1" w:themeShade="BF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Github仓库：</w:t>
      </w:r>
      <w:r>
        <w:rPr>
          <w:rFonts w:hint="eastAsia" w:ascii="微软雅黑 Light" w:hAnsi="微软雅黑 Light" w:eastAsia="微软雅黑 Light" w:cs="微软雅黑 Light"/>
          <w:i/>
          <w:iCs/>
          <w:color w:val="2E54A1" w:themeColor="accent1" w:themeShade="BF"/>
          <w:lang w:val="en-US" w:eastAsia="zh-CN"/>
        </w:rPr>
        <w:fldChar w:fldCharType="begin"/>
      </w:r>
      <w:r>
        <w:rPr>
          <w:rFonts w:hint="eastAsia" w:ascii="微软雅黑 Light" w:hAnsi="微软雅黑 Light" w:eastAsia="微软雅黑 Light" w:cs="微软雅黑 Light"/>
          <w:i/>
          <w:iCs/>
          <w:color w:val="2E54A1" w:themeColor="accent1" w:themeShade="BF"/>
          <w:lang w:val="en-US" w:eastAsia="zh-CN"/>
        </w:rPr>
        <w:instrText xml:space="preserve"> HYPERLINK "https://github.com/water0417/CAI_lab1_lxr.git" </w:instrText>
      </w:r>
      <w:r>
        <w:rPr>
          <w:rFonts w:hint="eastAsia" w:ascii="微软雅黑 Light" w:hAnsi="微软雅黑 Light" w:eastAsia="微软雅黑 Light" w:cs="微软雅黑 Light"/>
          <w:i/>
          <w:iCs/>
          <w:color w:val="2E54A1" w:themeColor="accent1" w:themeShade="BF"/>
          <w:lang w:val="en-US" w:eastAsia="zh-CN"/>
        </w:rPr>
        <w:fldChar w:fldCharType="separate"/>
      </w:r>
      <w:r>
        <w:rPr>
          <w:rStyle w:val="7"/>
          <w:rFonts w:hint="eastAsia" w:ascii="微软雅黑 Light" w:hAnsi="微软雅黑 Light" w:eastAsia="微软雅黑 Light" w:cs="微软雅黑 Light"/>
          <w:i/>
          <w:iCs/>
          <w:lang w:val="en-US" w:eastAsia="zh-CN"/>
        </w:rPr>
        <w:t>https://github.com/water0417/CAI_lab1_lxr.git</w:t>
      </w:r>
      <w:r>
        <w:rPr>
          <w:rFonts w:hint="eastAsia" w:ascii="微软雅黑 Light" w:hAnsi="微软雅黑 Light" w:eastAsia="微软雅黑 Light" w:cs="微软雅黑 Light"/>
          <w:i/>
          <w:iCs/>
          <w:color w:val="2E54A1" w:themeColor="accent1" w:themeShade="BF"/>
          <w:lang w:val="en-US" w:eastAsia="zh-CN"/>
        </w:rPr>
        <w:fldChar w:fldCharType="end"/>
      </w:r>
    </w:p>
    <w:p w14:paraId="2DD6325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  <w:t>1.训练集、验证集与测试集</w:t>
      </w:r>
    </w:p>
    <w:p w14:paraId="2D53D2F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jc w:val="left"/>
        <w:textAlignment w:val="auto"/>
        <w:rPr>
          <w:rFonts w:hint="default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1.1 数据划分：</w:t>
      </w: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对于训练集和验证集采用本实验采用5折重复5次，共25组估计，以均值±标准差报告结果。</w:t>
      </w:r>
    </w:p>
    <w:p w14:paraId="1427DF34">
      <w:pPr>
        <w:keepNext w:val="0"/>
        <w:keepLines w:val="0"/>
        <w:pageBreakBefore w:val="0"/>
        <w:widowControl/>
        <w:suppressLineNumbers w:val="0"/>
        <w:shd w:val="clear" w:fill="121314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200" w:firstLineChars="100"/>
        <w:jc w:val="left"/>
        <w:textAlignment w:val="auto"/>
        <w:rPr>
          <w:rFonts w:hint="default" w:ascii="Consolas" w:hAnsi="Consolas" w:eastAsia="Consolas" w:cs="Consolas"/>
          <w:b w:val="0"/>
          <w:bCs w:val="0"/>
          <w:color w:val="BBBEBF"/>
          <w:kern w:val="0"/>
          <w:sz w:val="20"/>
          <w:szCs w:val="20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0"/>
          <w:szCs w:val="20"/>
          <w:shd w:val="clear" w:fill="121314"/>
          <w:lang w:val="en-US" w:eastAsia="zh-CN" w:bidi="ar"/>
        </w:rPr>
        <w:t>RepeatedStratifiedKFold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0"/>
          <w:szCs w:val="20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0"/>
          <w:szCs w:val="20"/>
          <w:shd w:val="clear" w:fill="121314"/>
          <w:lang w:val="en-US" w:eastAsia="zh-CN" w:bidi="ar"/>
        </w:rPr>
        <w:t>n_splits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0"/>
          <w:szCs w:val="20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0"/>
          <w:szCs w:val="20"/>
          <w:shd w:val="clear" w:fill="121314"/>
          <w:lang w:val="en-US" w:eastAsia="zh-CN" w:bidi="ar"/>
        </w:rPr>
        <w:t>n_splits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0"/>
          <w:szCs w:val="20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0"/>
          <w:szCs w:val="20"/>
          <w:shd w:val="clear" w:fill="121314"/>
          <w:lang w:val="en-US" w:eastAsia="zh-CN" w:bidi="ar"/>
        </w:rPr>
        <w:t>n_repeats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0"/>
          <w:szCs w:val="20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0"/>
          <w:szCs w:val="20"/>
          <w:shd w:val="clear" w:fill="121314"/>
          <w:lang w:val="en-US" w:eastAsia="zh-CN" w:bidi="ar"/>
        </w:rPr>
        <w:t>n_repeats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0"/>
          <w:szCs w:val="20"/>
          <w:shd w:val="clear" w:fill="121314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0"/>
          <w:szCs w:val="20"/>
          <w:shd w:val="clear" w:fill="121314"/>
          <w:lang w:val="en-US" w:eastAsia="zh-CN" w:bidi="ar"/>
        </w:rPr>
        <w:t>random_state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0"/>
          <w:szCs w:val="20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0"/>
          <w:szCs w:val="20"/>
          <w:shd w:val="clear" w:fill="121314"/>
          <w:lang w:val="en-US" w:eastAsia="zh-CN" w:bidi="ar"/>
        </w:rPr>
        <w:t>SEED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0"/>
          <w:szCs w:val="20"/>
          <w:shd w:val="clear" w:fill="121314"/>
          <w:lang w:val="en-US" w:eastAsia="zh-CN" w:bidi="ar"/>
        </w:rPr>
        <w:t>)</w:t>
      </w:r>
    </w:p>
    <w:p w14:paraId="5A82A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jc w:val="left"/>
        <w:textAlignment w:val="auto"/>
        <w:rPr>
          <w:rFonts w:hint="default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 xml:space="preserve">选择依据：通过固定同一分类器（LinearSVC），仅改变随机种子开展对照，对比波动情况来评估数据划分随机性对性能估计的干扰，。单次划分性能波动极差达0.0207，易造成对比结论失真。5 折交叉验证显著降低估计波动。 </w:t>
      </w:r>
    </w:p>
    <w:tbl>
      <w:tblPr>
        <w:tblStyle w:val="4"/>
        <w:tblpPr w:leftFromText="180" w:rightFromText="180" w:vertAnchor="text" w:horzAnchor="page" w:tblpX="925" w:tblpY="12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4"/>
        <w:gridCol w:w="2084"/>
        <w:gridCol w:w="2084"/>
        <w:gridCol w:w="2085"/>
        <w:gridCol w:w="2085"/>
      </w:tblGrid>
      <w:tr w14:paraId="45A00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atLeast"/>
        </w:trPr>
        <w:tc>
          <w:tcPr>
            <w:tcW w:w="2084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0E0B9F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  <w:t>划分方案</w:t>
            </w:r>
          </w:p>
        </w:tc>
        <w:tc>
          <w:tcPr>
            <w:tcW w:w="2084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5A579C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  <w:t>估计值个数</w:t>
            </w:r>
          </w:p>
        </w:tc>
        <w:tc>
          <w:tcPr>
            <w:tcW w:w="2084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32D497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  <w:t>均值</w:t>
            </w:r>
          </w:p>
        </w:tc>
        <w:tc>
          <w:tcPr>
            <w:tcW w:w="2085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11EC44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  <w:t>标准差</w:t>
            </w:r>
          </w:p>
        </w:tc>
        <w:tc>
          <w:tcPr>
            <w:tcW w:w="2085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DBE3F4" w:themeFill="accent1" w:themeFillTint="32"/>
          </w:tcPr>
          <w:p w14:paraId="3ACEE8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  <w:t>极差</w:t>
            </w:r>
          </w:p>
        </w:tc>
      </w:tr>
      <w:tr w14:paraId="3A763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" w:hRule="atLeast"/>
        </w:trPr>
        <w:tc>
          <w:tcPr>
            <w:tcW w:w="2084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08F7D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Holdout 80/20</w:t>
            </w:r>
          </w:p>
        </w:tc>
        <w:tc>
          <w:tcPr>
            <w:tcW w:w="208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5917A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10</w:t>
            </w:r>
          </w:p>
        </w:tc>
        <w:tc>
          <w:tcPr>
            <w:tcW w:w="208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54D4F7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0.9100</w:t>
            </w:r>
          </w:p>
        </w:tc>
        <w:tc>
          <w:tcPr>
            <w:tcW w:w="2085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1D8318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0.0070</w:t>
            </w:r>
          </w:p>
        </w:tc>
        <w:tc>
          <w:tcPr>
            <w:tcW w:w="2085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18ED3F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0.0207</w:t>
            </w:r>
          </w:p>
        </w:tc>
      </w:tr>
      <w:tr w14:paraId="7DBA1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</w:trPr>
        <w:tc>
          <w:tcPr>
            <w:tcW w:w="2084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C3CD3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5折CV</w:t>
            </w:r>
          </w:p>
        </w:tc>
        <w:tc>
          <w:tcPr>
            <w:tcW w:w="208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70E3ED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6</w:t>
            </w:r>
          </w:p>
        </w:tc>
        <w:tc>
          <w:tcPr>
            <w:tcW w:w="208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4C1FDA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0.9154</w:t>
            </w:r>
          </w:p>
        </w:tc>
        <w:tc>
          <w:tcPr>
            <w:tcW w:w="2085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5EE03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0.0025</w:t>
            </w:r>
          </w:p>
        </w:tc>
        <w:tc>
          <w:tcPr>
            <w:tcW w:w="2085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</w:tcPr>
          <w:p w14:paraId="6D4B52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0.0073</w:t>
            </w:r>
          </w:p>
        </w:tc>
      </w:tr>
    </w:tbl>
    <w:p w14:paraId="4839901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olor w:val="auto"/>
          <w:lang w:val="en-US" w:eastAsia="zh-CN"/>
        </w:rPr>
        <w:t>1.2 划分有效性验证</w:t>
      </w:r>
    </w:p>
    <w:p w14:paraId="237D97B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各折验证集样本量稳定在 1473</w:t>
      </w: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noBreakHyphen/>
      </w: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1474 条，类别占比相对全集的最大偏差仅为 0.0006，分层采样生效。</w:t>
      </w:r>
    </w:p>
    <w:p w14:paraId="468F760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1.3 隔离测试集</w:t>
      </w:r>
    </w:p>
    <w:p w14:paraId="3028CD0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采用Pipeline封装 TF-IDF 与分类器，数据集划分优先于特征拟合：TF-IDF 仅使用训练集拟合；数据增强仅作用于训练样本，测试集文件做隔离，读取前进行SH</w:t>
      </w:r>
      <w:bookmarkStart w:id="0" w:name="_GoBack"/>
      <w:bookmarkEnd w:id="0"/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A256指纹字节校验，运行日志记录对应数据指纹，可自证测试集未使用。</w:t>
      </w:r>
    </w:p>
    <w:p w14:paraId="2D7A2FB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  <w:t>2.数据预处理与数据增强</w:t>
      </w:r>
    </w:p>
    <w:tbl>
      <w:tblPr>
        <w:tblStyle w:val="4"/>
        <w:tblW w:w="104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00"/>
        <w:gridCol w:w="4923"/>
        <w:gridCol w:w="5099"/>
      </w:tblGrid>
      <w:tr w14:paraId="4CE9D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9" w:hRule="atLeast"/>
        </w:trPr>
        <w:tc>
          <w:tcPr>
            <w:tcW w:w="400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E7E6E6" w:themeFill="background2"/>
            <w:vAlign w:val="center"/>
          </w:tcPr>
          <w:p w14:paraId="32F755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center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</w:pPr>
          </w:p>
        </w:tc>
        <w:tc>
          <w:tcPr>
            <w:tcW w:w="4923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E7E6E6" w:themeFill="background2"/>
            <w:vAlign w:val="center"/>
          </w:tcPr>
          <w:p w14:paraId="6716F77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center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lang w:val="en-US" w:eastAsia="zh-CN"/>
              </w:rPr>
              <w:t>数据预处理</w:t>
            </w:r>
          </w:p>
        </w:tc>
        <w:tc>
          <w:tcPr>
            <w:tcW w:w="5099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E7E6E6" w:themeFill="background2"/>
            <w:vAlign w:val="center"/>
          </w:tcPr>
          <w:p w14:paraId="76A540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center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lang w:val="en-US" w:eastAsia="zh-CN"/>
              </w:rPr>
              <w:t>数据增强</w:t>
            </w:r>
          </w:p>
        </w:tc>
      </w:tr>
      <w:tr w14:paraId="2B4A7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12" w:hRule="atLeast"/>
        </w:trPr>
        <w:tc>
          <w:tcPr>
            <w:tcW w:w="400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E7E6E6" w:themeFill="background2"/>
            <w:vAlign w:val="center"/>
          </w:tcPr>
          <w:p w14:paraId="5FC1A2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  <w:t>实验</w:t>
            </w:r>
          </w:p>
        </w:tc>
        <w:tc>
          <w:tcPr>
            <w:tcW w:w="4923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FFFFFF"/>
            <w:vAlign w:val="center"/>
          </w:tcPr>
          <w:p w14:paraId="6652E6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13组清洗配置，在LinearSVC+25折重复CV下做消融，以原始文本为基线，配对t检验判断统计显著性。</w:t>
            </w:r>
          </w:p>
        </w:tc>
        <w:tc>
          <w:tcPr>
            <w:tcW w:w="5099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FFFFFF"/>
            <w:vAlign w:val="center"/>
          </w:tcPr>
          <w:p w14:paraId="5DC7AE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三轮实验，测试结构扰动与LSA语义近邻替换增强（仅训练集增强），采用配对检验评估效果与标签稳定性。</w:t>
            </w:r>
          </w:p>
        </w:tc>
      </w:tr>
      <w:tr w14:paraId="70C83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51" w:hRule="atLeast"/>
        </w:trPr>
        <w:tc>
          <w:tcPr>
            <w:tcW w:w="400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E7E6E6" w:themeFill="background2"/>
            <w:vAlign w:val="center"/>
          </w:tcPr>
          <w:p w14:paraId="04A8EC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center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  <w:t>发现</w:t>
            </w:r>
          </w:p>
        </w:tc>
        <w:tc>
          <w:tcPr>
            <w:tcW w:w="4923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FFFFFF"/>
            <w:vAlign w:val="center"/>
          </w:tcPr>
          <w:p w14:paraId="57CFA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实验结果详见figs/fig3_cleaning_forest.png</w:t>
            </w:r>
          </w:p>
        </w:tc>
        <w:tc>
          <w:tcPr>
            <w:tcW w:w="5099" w:type="dxa"/>
            <w:tcBorders>
              <w:left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FFFFFF"/>
            <w:vAlign w:val="center"/>
          </w:tcPr>
          <w:p w14:paraId="0F2784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详见figs/term/term_13_augment_robust.png、term_14_augment_label_integrity.png、term_15_semantic_aug.png</w:t>
            </w:r>
          </w:p>
        </w:tc>
      </w:tr>
      <w:tr w14:paraId="2CFD6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90" w:hRule="atLeast"/>
        </w:trPr>
        <w:tc>
          <w:tcPr>
            <w:tcW w:w="400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E7E6E6" w:themeFill="background2"/>
            <w:vAlign w:val="center"/>
          </w:tcPr>
          <w:p w14:paraId="4AB1D2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center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lang w:val="en-US" w:eastAsia="zh-CN"/>
              </w:rPr>
              <w:t>结论</w:t>
            </w:r>
          </w:p>
        </w:tc>
        <w:tc>
          <w:tcPr>
            <w:tcW w:w="4923" w:type="dxa"/>
            <w:tcBorders>
              <w:top w:val="single" w:color="CFCECE" w:themeColor="background2" w:themeShade="E5" w:sz="6" w:space="0"/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FFFFFF"/>
            <w:vAlign w:val="center"/>
          </w:tcPr>
          <w:p w14:paraId="0A2049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清洗并非越多越好，通用清洗流程不能直接套用，需保留主题、引用等有效信息，针对性去除有害捷径特征。</w:t>
            </w:r>
          </w:p>
        </w:tc>
        <w:tc>
          <w:tcPr>
            <w:tcW w:w="5099" w:type="dxa"/>
            <w:tcBorders>
              <w:left w:val="single" w:color="CFCECE" w:themeColor="background2" w:themeShade="E5" w:sz="6" w:space="0"/>
              <w:bottom w:val="single" w:color="CFCECE" w:themeColor="background2" w:themeShade="E5" w:sz="6" w:space="0"/>
              <w:right w:val="single" w:color="CFCECE" w:themeColor="background2" w:themeShade="E5" w:sz="6" w:space="0"/>
            </w:tcBorders>
            <w:shd w:val="clear" w:color="auto" w:fill="FFFFFF"/>
            <w:vAlign w:val="center"/>
          </w:tcPr>
          <w:p w14:paraId="58AC80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在本数据集、TF-IDF+LinearSVC 的设定下，数据增强增益较小，受限于词袋表征与 LSA 近邻质量。</w:t>
            </w:r>
          </w:p>
        </w:tc>
      </w:tr>
    </w:tbl>
    <w:p w14:paraId="0D0DC5A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  <w:t>3.调参数</w:t>
      </w:r>
    </w:p>
    <w:p w14:paraId="15014C6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3.1 TF-IDF 参数调优</w:t>
      </w:r>
    </w:p>
    <w:p w14:paraId="5EE3305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固定预处理与LinearSVC模型开展单参数敏感性扫描，先每次改动一个参数，再补充参数组合实验，考察参数交互。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605"/>
        <w:gridCol w:w="2605"/>
        <w:gridCol w:w="2606"/>
        <w:gridCol w:w="2606"/>
      </w:tblGrid>
      <w:tr w14:paraId="491AF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57" w:hRule="atLeast"/>
        </w:trPr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auto"/>
            <w:vAlign w:val="top"/>
          </w:tcPr>
          <w:p w14:paraId="527E23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 w:rightChars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kern w:val="2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max_features</w:t>
            </w:r>
          </w:p>
        </w:tc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auto"/>
            <w:vAlign w:val="top"/>
          </w:tcPr>
          <w:p w14:paraId="1D4444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 w:rightChars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kern w:val="2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20000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auto"/>
            <w:vAlign w:val="top"/>
          </w:tcPr>
          <w:p w14:paraId="701F3B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 w:rightChars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kern w:val="2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+0.0204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E8F5E0"/>
            <w:vAlign w:val="top"/>
          </w:tcPr>
          <w:p w14:paraId="671CA7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 w:rightChars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kern w:val="2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显著</w:t>
            </w:r>
          </w:p>
        </w:tc>
      </w:tr>
      <w:tr w14:paraId="39F51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5A67B0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max_features</w:t>
            </w:r>
          </w:p>
        </w:tc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116AF9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2000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3001F3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-0.0423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E8F5E0"/>
          </w:tcPr>
          <w:p w14:paraId="39540D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显著</w:t>
            </w:r>
          </w:p>
        </w:tc>
      </w:tr>
      <w:tr w14:paraId="68466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3ED171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max_features</w:t>
            </w:r>
          </w:p>
        </w:tc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36D850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(1,2)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077957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-0.0135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E8F5E0"/>
          </w:tcPr>
          <w:p w14:paraId="61A638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显著</w:t>
            </w:r>
          </w:p>
        </w:tc>
      </w:tr>
      <w:tr w14:paraId="13298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11CA52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sublinear_tf</w:t>
            </w:r>
          </w:p>
        </w:tc>
        <w:tc>
          <w:tcPr>
            <w:tcW w:w="2605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1AE0FF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True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2F24BC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-0.0028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E8F5E0"/>
          </w:tcPr>
          <w:p w14:paraId="16F5B0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显著</w:t>
            </w:r>
          </w:p>
        </w:tc>
      </w:tr>
      <w:tr w14:paraId="228EE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56" w:hRule="atLeast"/>
        </w:trPr>
        <w:tc>
          <w:tcPr>
            <w:tcW w:w="5210" w:type="dxa"/>
            <w:gridSpan w:val="2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09165D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min_df` 2/5/10、`max_df` 0.5/0.9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FFFFF"/>
          </w:tcPr>
          <w:p w14:paraId="755D1D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−0.0004~+0.0007</w:t>
            </w:r>
          </w:p>
        </w:tc>
        <w:tc>
          <w:tcPr>
            <w:tcW w:w="2606" w:type="dxa"/>
            <w:tcBorders>
              <w:top w:val="single" w:color="3A3737" w:themeColor="background2" w:themeShade="3F" w:sz="6" w:space="0"/>
              <w:left w:val="single" w:color="3A3737" w:themeColor="background2" w:themeShade="3F" w:sz="6" w:space="0"/>
              <w:bottom w:val="single" w:color="3A3737" w:themeColor="background2" w:themeShade="3F" w:sz="6" w:space="0"/>
              <w:right w:val="single" w:color="3A3737" w:themeColor="background2" w:themeShade="3F" w:sz="6" w:space="0"/>
            </w:tcBorders>
            <w:shd w:val="clear" w:color="auto" w:fill="FDEEF0"/>
          </w:tcPr>
          <w:p w14:paraId="5059DA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i w:val="0"/>
                <w:iCs w:val="0"/>
                <w:color w:val="767171" w:themeColor="background2" w:themeShade="80"/>
                <w:sz w:val="18"/>
                <w:szCs w:val="21"/>
                <w:vertAlign w:val="baseline"/>
                <w:lang w:val="en-US" w:eastAsia="zh-CN"/>
              </w:rPr>
              <w:t>不显著</w:t>
            </w:r>
          </w:p>
        </w:tc>
      </w:tr>
    </w:tbl>
    <w:p w14:paraId="0DEB293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经组合实验发现存在参数交互效应，详见figs/term/term_17_tfidf_combo.png。</w:t>
      </w:r>
    </w:p>
    <w:p w14:paraId="40F2BD5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本实验最终TF-IDF配置为max_features=50000, sublinear_tf=True, ngram_range=(1,1)，其余参数保持默认。</w:t>
      </w:r>
    </w:p>
    <w:p w14:paraId="4077BD4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3.2 模型超参调优</w:t>
      </w:r>
    </w:p>
    <w:tbl>
      <w:tblPr>
        <w:tblStyle w:val="4"/>
        <w:tblW w:w="5004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06"/>
        <w:gridCol w:w="816"/>
        <w:gridCol w:w="816"/>
        <w:gridCol w:w="816"/>
        <w:gridCol w:w="816"/>
        <w:gridCol w:w="816"/>
        <w:gridCol w:w="222"/>
        <w:gridCol w:w="738"/>
        <w:gridCol w:w="921"/>
        <w:gridCol w:w="921"/>
        <w:gridCol w:w="921"/>
        <w:gridCol w:w="921"/>
        <w:gridCol w:w="921"/>
      </w:tblGrid>
      <w:tr w14:paraId="054DE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5" w:type="pct"/>
          <w:trHeight w:val="0" w:hRule="atLeast"/>
          <w:jc w:val="center"/>
        </w:trPr>
        <w:tc>
          <w:tcPr>
            <w:tcW w:w="2428" w:type="pct"/>
            <w:gridSpan w:val="6"/>
            <w:shd w:val="clear" w:color="auto" w:fill="DBE3F4" w:themeFill="accent1" w:themeFillTint="32"/>
          </w:tcPr>
          <w:p w14:paraId="1EDEF0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  <w:t>LinearSVC</w:t>
            </w:r>
          </w:p>
        </w:tc>
        <w:tc>
          <w:tcPr>
            <w:tcW w:w="113" w:type="pct"/>
            <w:vMerge w:val="restart"/>
            <w:tcBorders>
              <w:top w:val="nil"/>
              <w:bottom w:val="nil"/>
            </w:tcBorders>
          </w:tcPr>
          <w:p w14:paraId="4BB038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453" w:type="pct"/>
            <w:gridSpan w:val="6"/>
            <w:shd w:val="clear" w:color="auto" w:fill="FEF2CB" w:themeFill="accent3" w:themeFillTint="32"/>
          </w:tcPr>
          <w:p w14:paraId="61B5FD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  <w:t>LogisticRegression</w:t>
            </w:r>
          </w:p>
        </w:tc>
      </w:tr>
      <w:tr w14:paraId="6DAF4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5" w:type="pct"/>
          <w:trHeight w:val="0" w:hRule="atLeast"/>
          <w:jc w:val="center"/>
        </w:trPr>
        <w:tc>
          <w:tcPr>
            <w:tcW w:w="493" w:type="pct"/>
            <w:vMerge w:val="restart"/>
            <w:vAlign w:val="center"/>
          </w:tcPr>
          <w:p w14:paraId="1C555C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both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8"/>
                <w:szCs w:val="36"/>
                <w:vertAlign w:val="baseline"/>
                <w:lang w:val="en-US" w:eastAsia="zh-CN"/>
              </w:rPr>
              <w:t>c</w:t>
            </w:r>
          </w:p>
        </w:tc>
        <w:tc>
          <w:tcPr>
            <w:tcW w:w="387" w:type="pct"/>
            <w:vMerge w:val="restart"/>
            <w:vAlign w:val="center"/>
          </w:tcPr>
          <w:p w14:paraId="3F75CC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0.01</w:t>
            </w:r>
          </w:p>
        </w:tc>
        <w:tc>
          <w:tcPr>
            <w:tcW w:w="389" w:type="pct"/>
            <w:vMerge w:val="restart"/>
            <w:vAlign w:val="center"/>
          </w:tcPr>
          <w:p w14:paraId="1E70B1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0.1</w:t>
            </w:r>
          </w:p>
        </w:tc>
        <w:tc>
          <w:tcPr>
            <w:tcW w:w="390" w:type="pct"/>
            <w:vMerge w:val="restart"/>
            <w:shd w:val="clear" w:color="auto" w:fill="E6EDF9"/>
            <w:vAlign w:val="center"/>
          </w:tcPr>
          <w:p w14:paraId="68F7B4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1.0</w:t>
            </w:r>
          </w:p>
        </w:tc>
        <w:tc>
          <w:tcPr>
            <w:tcW w:w="389" w:type="pct"/>
            <w:vMerge w:val="restart"/>
            <w:vAlign w:val="center"/>
          </w:tcPr>
          <w:p w14:paraId="615EA7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10.0</w:t>
            </w:r>
          </w:p>
        </w:tc>
        <w:tc>
          <w:tcPr>
            <w:tcW w:w="377" w:type="pct"/>
            <w:vMerge w:val="restart"/>
            <w:vAlign w:val="center"/>
          </w:tcPr>
          <w:p w14:paraId="5C696E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100.0</w:t>
            </w:r>
          </w:p>
        </w:tc>
        <w:tc>
          <w:tcPr>
            <w:tcW w:w="113" w:type="pct"/>
            <w:vMerge w:val="continue"/>
            <w:tcBorders>
              <w:top w:val="nil"/>
              <w:bottom w:val="nil"/>
            </w:tcBorders>
          </w:tcPr>
          <w:p w14:paraId="6E5D39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18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26" w:type="pct"/>
          </w:tcPr>
          <w:p w14:paraId="635619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8"/>
                <w:szCs w:val="36"/>
                <w:vertAlign w:val="baseline"/>
                <w:lang w:val="en-US" w:eastAsia="zh-CN"/>
              </w:rPr>
              <w:t>c</w:t>
            </w:r>
          </w:p>
        </w:tc>
        <w:tc>
          <w:tcPr>
            <w:tcW w:w="428" w:type="pct"/>
            <w:vAlign w:val="center"/>
          </w:tcPr>
          <w:p w14:paraId="542243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 w:rightChars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0.01</w:t>
            </w:r>
          </w:p>
        </w:tc>
        <w:tc>
          <w:tcPr>
            <w:tcW w:w="427" w:type="pct"/>
            <w:vAlign w:val="center"/>
          </w:tcPr>
          <w:p w14:paraId="2368DA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 w:rightChars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0.1</w:t>
            </w:r>
          </w:p>
        </w:tc>
        <w:tc>
          <w:tcPr>
            <w:tcW w:w="425" w:type="pct"/>
            <w:vAlign w:val="center"/>
          </w:tcPr>
          <w:p w14:paraId="416629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 w:rightChars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1.0</w:t>
            </w:r>
          </w:p>
        </w:tc>
        <w:tc>
          <w:tcPr>
            <w:tcW w:w="411" w:type="pct"/>
            <w:vAlign w:val="center"/>
          </w:tcPr>
          <w:p w14:paraId="690A30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 w:rightChars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10.0</w:t>
            </w:r>
          </w:p>
        </w:tc>
        <w:tc>
          <w:tcPr>
            <w:tcW w:w="432" w:type="pct"/>
            <w:shd w:val="clear" w:color="auto" w:fill="FFF6D7"/>
            <w:vAlign w:val="center"/>
          </w:tcPr>
          <w:p w14:paraId="78011B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 w:rightChars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100.0</w:t>
            </w:r>
          </w:p>
        </w:tc>
      </w:tr>
      <w:tr w14:paraId="5086A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5" w:type="pct"/>
          <w:trHeight w:val="0" w:hRule="atLeast"/>
          <w:jc w:val="center"/>
        </w:trPr>
        <w:tc>
          <w:tcPr>
            <w:tcW w:w="493" w:type="pct"/>
            <w:vMerge w:val="continue"/>
            <w:vAlign w:val="center"/>
          </w:tcPr>
          <w:p w14:paraId="1C7D52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both"/>
              <w:textAlignment w:val="auto"/>
              <w:rPr>
                <w:rFonts w:hint="eastAsia" w:ascii="等线" w:hAnsi="等线" w:eastAsia="等线" w:cs="等线"/>
                <w:sz w:val="22"/>
                <w:szCs w:val="28"/>
              </w:rPr>
            </w:pPr>
          </w:p>
        </w:tc>
        <w:tc>
          <w:tcPr>
            <w:tcW w:w="387" w:type="pct"/>
            <w:vMerge w:val="continue"/>
            <w:vAlign w:val="center"/>
          </w:tcPr>
          <w:p w14:paraId="69D6F1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sz w:val="22"/>
                <w:szCs w:val="28"/>
              </w:rPr>
            </w:pPr>
          </w:p>
        </w:tc>
        <w:tc>
          <w:tcPr>
            <w:tcW w:w="389" w:type="pct"/>
            <w:vMerge w:val="continue"/>
            <w:vAlign w:val="center"/>
          </w:tcPr>
          <w:p w14:paraId="424752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sz w:val="22"/>
                <w:szCs w:val="28"/>
              </w:rPr>
            </w:pPr>
          </w:p>
        </w:tc>
        <w:tc>
          <w:tcPr>
            <w:tcW w:w="390" w:type="pct"/>
            <w:vMerge w:val="continue"/>
            <w:shd w:val="clear" w:color="auto" w:fill="E6EDF9"/>
            <w:vAlign w:val="center"/>
          </w:tcPr>
          <w:p w14:paraId="2FFA19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sz w:val="22"/>
                <w:szCs w:val="28"/>
              </w:rPr>
            </w:pPr>
          </w:p>
        </w:tc>
        <w:tc>
          <w:tcPr>
            <w:tcW w:w="389" w:type="pct"/>
            <w:vMerge w:val="continue"/>
            <w:vAlign w:val="center"/>
          </w:tcPr>
          <w:p w14:paraId="52C0A4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sz w:val="22"/>
                <w:szCs w:val="28"/>
              </w:rPr>
            </w:pPr>
          </w:p>
        </w:tc>
        <w:tc>
          <w:tcPr>
            <w:tcW w:w="377" w:type="pct"/>
            <w:vMerge w:val="continue"/>
            <w:vAlign w:val="center"/>
          </w:tcPr>
          <w:p w14:paraId="0BFA91D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sz w:val="22"/>
                <w:szCs w:val="28"/>
              </w:rPr>
            </w:pPr>
          </w:p>
        </w:tc>
        <w:tc>
          <w:tcPr>
            <w:tcW w:w="113" w:type="pct"/>
            <w:vMerge w:val="continue"/>
            <w:tcBorders>
              <w:top w:val="nil"/>
              <w:bottom w:val="nil"/>
            </w:tcBorders>
          </w:tcPr>
          <w:p w14:paraId="05DA4A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26" w:type="pct"/>
          </w:tcPr>
          <w:p w14:paraId="1754DD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L2</w:t>
            </w:r>
          </w:p>
        </w:tc>
        <w:tc>
          <w:tcPr>
            <w:tcW w:w="428" w:type="pct"/>
            <w:vAlign w:val="center"/>
          </w:tcPr>
          <w:p w14:paraId="5F084A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0.8727</w:t>
            </w:r>
          </w:p>
        </w:tc>
        <w:tc>
          <w:tcPr>
            <w:tcW w:w="427" w:type="pct"/>
            <w:vAlign w:val="center"/>
          </w:tcPr>
          <w:p w14:paraId="34071B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0.9019</w:t>
            </w:r>
          </w:p>
        </w:tc>
        <w:tc>
          <w:tcPr>
            <w:tcW w:w="425" w:type="pct"/>
            <w:vAlign w:val="center"/>
          </w:tcPr>
          <w:p w14:paraId="57BBB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0.9267</w:t>
            </w:r>
          </w:p>
        </w:tc>
        <w:tc>
          <w:tcPr>
            <w:tcW w:w="411" w:type="pct"/>
            <w:vAlign w:val="center"/>
          </w:tcPr>
          <w:p w14:paraId="4B7258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0.9399</w:t>
            </w:r>
          </w:p>
        </w:tc>
        <w:tc>
          <w:tcPr>
            <w:tcW w:w="432" w:type="pct"/>
            <w:shd w:val="clear" w:color="auto" w:fill="FFF6D7"/>
            <w:vAlign w:val="center"/>
          </w:tcPr>
          <w:p w14:paraId="5147CF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0.9419</w:t>
            </w:r>
          </w:p>
        </w:tc>
      </w:tr>
      <w:tr w14:paraId="73A0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5" w:type="pct"/>
          <w:trHeight w:val="0" w:hRule="atLeast"/>
          <w:jc w:val="center"/>
        </w:trPr>
        <w:tc>
          <w:tcPr>
            <w:tcW w:w="493" w:type="pct"/>
            <w:vMerge w:val="restart"/>
            <w:vAlign w:val="center"/>
          </w:tcPr>
          <w:p w14:paraId="1A6463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both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Macro-F1</w:t>
            </w:r>
          </w:p>
        </w:tc>
        <w:tc>
          <w:tcPr>
            <w:tcW w:w="387" w:type="pct"/>
            <w:vMerge w:val="restart"/>
            <w:vAlign w:val="center"/>
          </w:tcPr>
          <w:p w14:paraId="1EE3F1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0.9060</w:t>
            </w:r>
          </w:p>
        </w:tc>
        <w:tc>
          <w:tcPr>
            <w:tcW w:w="389" w:type="pct"/>
            <w:vMerge w:val="restart"/>
            <w:vAlign w:val="center"/>
          </w:tcPr>
          <w:p w14:paraId="07B96C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0.9324</w:t>
            </w:r>
          </w:p>
        </w:tc>
        <w:tc>
          <w:tcPr>
            <w:tcW w:w="390" w:type="pct"/>
            <w:vMerge w:val="restart"/>
            <w:shd w:val="clear" w:color="auto" w:fill="E6EDF9"/>
            <w:vAlign w:val="center"/>
          </w:tcPr>
          <w:p w14:paraId="720CA0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0.9434</w:t>
            </w:r>
          </w:p>
        </w:tc>
        <w:tc>
          <w:tcPr>
            <w:tcW w:w="389" w:type="pct"/>
            <w:vMerge w:val="restart"/>
            <w:vAlign w:val="center"/>
          </w:tcPr>
          <w:p w14:paraId="5EA150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0.9428</w:t>
            </w:r>
          </w:p>
        </w:tc>
        <w:tc>
          <w:tcPr>
            <w:tcW w:w="377" w:type="pct"/>
            <w:vMerge w:val="restart"/>
            <w:vAlign w:val="center"/>
          </w:tcPr>
          <w:p w14:paraId="14326A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0.9413</w:t>
            </w:r>
          </w:p>
        </w:tc>
        <w:tc>
          <w:tcPr>
            <w:tcW w:w="113" w:type="pct"/>
            <w:vMerge w:val="continue"/>
            <w:tcBorders>
              <w:top w:val="nil"/>
              <w:bottom w:val="nil"/>
            </w:tcBorders>
          </w:tcPr>
          <w:p w14:paraId="623D2B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18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26" w:type="pct"/>
          </w:tcPr>
          <w:p w14:paraId="797296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L1</w:t>
            </w:r>
          </w:p>
        </w:tc>
        <w:tc>
          <w:tcPr>
            <w:tcW w:w="428" w:type="pct"/>
            <w:vAlign w:val="center"/>
          </w:tcPr>
          <w:p w14:paraId="665708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0.0184</w:t>
            </w:r>
          </w:p>
        </w:tc>
        <w:tc>
          <w:tcPr>
            <w:tcW w:w="427" w:type="pct"/>
            <w:vAlign w:val="center"/>
          </w:tcPr>
          <w:p w14:paraId="0D072A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0.5562</w:t>
            </w:r>
          </w:p>
        </w:tc>
        <w:tc>
          <w:tcPr>
            <w:tcW w:w="425" w:type="pct"/>
            <w:vAlign w:val="center"/>
          </w:tcPr>
          <w:p w14:paraId="69D693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0.8565</w:t>
            </w:r>
          </w:p>
        </w:tc>
        <w:tc>
          <w:tcPr>
            <w:tcW w:w="411" w:type="pct"/>
            <w:vAlign w:val="center"/>
          </w:tcPr>
          <w:p w14:paraId="0296F4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0.9118</w:t>
            </w:r>
          </w:p>
        </w:tc>
        <w:tc>
          <w:tcPr>
            <w:tcW w:w="432" w:type="pct"/>
            <w:shd w:val="clear" w:color="auto" w:fill="FFF6D7"/>
            <w:vAlign w:val="center"/>
          </w:tcPr>
          <w:p w14:paraId="139C5A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0.9151</w:t>
            </w:r>
          </w:p>
        </w:tc>
      </w:tr>
      <w:tr w14:paraId="660CA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5" w:type="pct"/>
          <w:trHeight w:val="0" w:hRule="atLeast"/>
          <w:jc w:val="center"/>
        </w:trPr>
        <w:tc>
          <w:tcPr>
            <w:tcW w:w="493" w:type="pct"/>
            <w:vMerge w:val="continue"/>
          </w:tcPr>
          <w:p w14:paraId="687408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87" w:type="pct"/>
            <w:vMerge w:val="continue"/>
          </w:tcPr>
          <w:p w14:paraId="78836A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89" w:type="pct"/>
            <w:vMerge w:val="continue"/>
          </w:tcPr>
          <w:p w14:paraId="650E99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90" w:type="pct"/>
            <w:vMerge w:val="continue"/>
            <w:shd w:val="clear" w:color="auto" w:fill="E6EDF9"/>
          </w:tcPr>
          <w:p w14:paraId="5C64BF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89" w:type="pct"/>
            <w:vMerge w:val="continue"/>
          </w:tcPr>
          <w:p w14:paraId="7E3140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77" w:type="pct"/>
            <w:vMerge w:val="continue"/>
          </w:tcPr>
          <w:p w14:paraId="6A75EB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113" w:type="pct"/>
            <w:vMerge w:val="continue"/>
            <w:tcBorders>
              <w:top w:val="nil"/>
              <w:bottom w:val="nil"/>
            </w:tcBorders>
          </w:tcPr>
          <w:p w14:paraId="06D807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sz w:val="20"/>
                <w:szCs w:val="22"/>
              </w:rPr>
            </w:pPr>
          </w:p>
        </w:tc>
        <w:tc>
          <w:tcPr>
            <w:tcW w:w="326" w:type="pct"/>
          </w:tcPr>
          <w:p w14:paraId="18D883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L2-L1</w:t>
            </w:r>
          </w:p>
        </w:tc>
        <w:tc>
          <w:tcPr>
            <w:tcW w:w="428" w:type="pct"/>
            <w:vAlign w:val="center"/>
          </w:tcPr>
          <w:p w14:paraId="76375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-0.8543</w:t>
            </w:r>
          </w:p>
        </w:tc>
        <w:tc>
          <w:tcPr>
            <w:tcW w:w="427" w:type="pct"/>
            <w:vAlign w:val="center"/>
          </w:tcPr>
          <w:p w14:paraId="03BFA7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-0.3457</w:t>
            </w:r>
          </w:p>
        </w:tc>
        <w:tc>
          <w:tcPr>
            <w:tcW w:w="425" w:type="pct"/>
            <w:vAlign w:val="center"/>
          </w:tcPr>
          <w:p w14:paraId="118B0F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-0.0702</w:t>
            </w:r>
          </w:p>
        </w:tc>
        <w:tc>
          <w:tcPr>
            <w:tcW w:w="411" w:type="pct"/>
            <w:vAlign w:val="center"/>
          </w:tcPr>
          <w:p w14:paraId="50F431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-0.0281</w:t>
            </w:r>
          </w:p>
        </w:tc>
        <w:tc>
          <w:tcPr>
            <w:tcW w:w="432" w:type="pct"/>
            <w:shd w:val="clear" w:color="auto" w:fill="FFF6D7"/>
            <w:vAlign w:val="center"/>
          </w:tcPr>
          <w:p w14:paraId="1694E7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-0.0268</w:t>
            </w:r>
          </w:p>
        </w:tc>
      </w:tr>
    </w:tbl>
    <w:p w14:paraId="22272EA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default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</w:p>
    <w:tbl>
      <w:tblPr>
        <w:tblStyle w:val="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984"/>
        <w:gridCol w:w="984"/>
        <w:gridCol w:w="984"/>
        <w:gridCol w:w="984"/>
        <w:gridCol w:w="849"/>
        <w:gridCol w:w="225"/>
        <w:gridCol w:w="776"/>
        <w:gridCol w:w="840"/>
        <w:gridCol w:w="840"/>
        <w:gridCol w:w="840"/>
        <w:gridCol w:w="974"/>
      </w:tblGrid>
      <w:tr w14:paraId="2FD2D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842" w:type="pct"/>
            <w:gridSpan w:val="6"/>
            <w:shd w:val="clear" w:color="auto" w:fill="E9E1FC"/>
          </w:tcPr>
          <w:p w14:paraId="42EC85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  <w:t>NaiveBayes</w:t>
            </w:r>
          </w:p>
        </w:tc>
        <w:tc>
          <w:tcPr>
            <w:tcW w:w="108" w:type="pct"/>
            <w:vMerge w:val="restart"/>
            <w:tcBorders>
              <w:top w:val="nil"/>
            </w:tcBorders>
          </w:tcPr>
          <w:p w14:paraId="04E409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048" w:type="pct"/>
            <w:gridSpan w:val="5"/>
            <w:shd w:val="clear" w:color="auto" w:fill="FDEEF0"/>
          </w:tcPr>
          <w:p w14:paraId="0EA089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vertAlign w:val="baseline"/>
                <w:lang w:val="en-US" w:eastAsia="zh-CN"/>
              </w:rPr>
              <w:t>LogisticRegression</w:t>
            </w:r>
          </w:p>
        </w:tc>
      </w:tr>
      <w:tr w14:paraId="01752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7" w:type="pct"/>
            <w:tcBorders/>
            <w:vAlign w:val="center"/>
          </w:tcPr>
          <w:p w14:paraId="77D2D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alpha</w:t>
            </w:r>
          </w:p>
        </w:tc>
        <w:tc>
          <w:tcPr>
            <w:tcW w:w="472" w:type="pct"/>
            <w:tcBorders/>
            <w:vAlign w:val="center"/>
          </w:tcPr>
          <w:p w14:paraId="4CA829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0.01</w:t>
            </w:r>
          </w:p>
        </w:tc>
        <w:tc>
          <w:tcPr>
            <w:tcW w:w="472" w:type="pct"/>
            <w:tcBorders/>
            <w:vAlign w:val="center"/>
          </w:tcPr>
          <w:p w14:paraId="3D5D6F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0.05</w:t>
            </w:r>
          </w:p>
        </w:tc>
        <w:tc>
          <w:tcPr>
            <w:tcW w:w="472" w:type="pct"/>
            <w:tcBorders/>
            <w:shd w:val="clear" w:color="auto" w:fill="E9E1FC"/>
            <w:vAlign w:val="center"/>
          </w:tcPr>
          <w:p w14:paraId="649AF0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0.1</w:t>
            </w:r>
          </w:p>
        </w:tc>
        <w:tc>
          <w:tcPr>
            <w:tcW w:w="472" w:type="pct"/>
            <w:tcBorders/>
            <w:vAlign w:val="center"/>
          </w:tcPr>
          <w:p w14:paraId="47213A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0.2</w:t>
            </w:r>
          </w:p>
        </w:tc>
        <w:tc>
          <w:tcPr>
            <w:tcW w:w="406" w:type="pct"/>
            <w:tcBorders/>
            <w:vAlign w:val="center"/>
          </w:tcPr>
          <w:p w14:paraId="2F3E06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1.0 </w:t>
            </w:r>
          </w:p>
        </w:tc>
        <w:tc>
          <w:tcPr>
            <w:tcW w:w="108" w:type="pct"/>
            <w:vMerge w:val="continue"/>
            <w:tcBorders/>
          </w:tcPr>
          <w:p w14:paraId="370F07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18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72" w:type="pct"/>
            <w:tcBorders/>
            <w:shd w:val="clear" w:color="auto" w:fill="auto"/>
            <w:vAlign w:val="center"/>
          </w:tcPr>
          <w:p w14:paraId="2C68DA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default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 \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31DE1A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(50,) </w:t>
            </w:r>
          </w:p>
        </w:tc>
        <w:tc>
          <w:tcPr>
            <w:tcW w:w="403" w:type="pct"/>
            <w:tcBorders/>
            <w:shd w:val="clear" w:color="auto" w:fill="FDEEF0"/>
            <w:vAlign w:val="center"/>
          </w:tcPr>
          <w:p w14:paraId="3C4993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(100,) 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4BD4CA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(200,) </w:t>
            </w:r>
          </w:p>
        </w:tc>
        <w:tc>
          <w:tcPr>
            <w:tcW w:w="466" w:type="pct"/>
            <w:tcBorders/>
            <w:shd w:val="clear" w:color="auto" w:fill="auto"/>
            <w:vAlign w:val="center"/>
          </w:tcPr>
          <w:p w14:paraId="28BDFB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(100,50) </w:t>
            </w:r>
          </w:p>
        </w:tc>
      </w:tr>
      <w:tr w14:paraId="451B4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7" w:type="pct"/>
            <w:tcBorders/>
            <w:vAlign w:val="center"/>
          </w:tcPr>
          <w:p w14:paraId="70BA1A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Macro-F1</w:t>
            </w:r>
          </w:p>
        </w:tc>
        <w:tc>
          <w:tcPr>
            <w:tcW w:w="472" w:type="pct"/>
            <w:tcBorders/>
            <w:vAlign w:val="center"/>
          </w:tcPr>
          <w:p w14:paraId="3840A1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0.9353</w:t>
            </w:r>
          </w:p>
        </w:tc>
        <w:tc>
          <w:tcPr>
            <w:tcW w:w="472" w:type="pct"/>
            <w:tcBorders/>
            <w:vAlign w:val="center"/>
          </w:tcPr>
          <w:p w14:paraId="4B1E7C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0.9390</w:t>
            </w:r>
          </w:p>
        </w:tc>
        <w:tc>
          <w:tcPr>
            <w:tcW w:w="472" w:type="pct"/>
            <w:tcBorders/>
            <w:shd w:val="clear" w:color="auto" w:fill="E9E1FC"/>
            <w:vAlign w:val="center"/>
          </w:tcPr>
          <w:p w14:paraId="2F4CF2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0.9391</w:t>
            </w:r>
          </w:p>
        </w:tc>
        <w:tc>
          <w:tcPr>
            <w:tcW w:w="472" w:type="pct"/>
            <w:tcBorders/>
            <w:vAlign w:val="center"/>
          </w:tcPr>
          <w:p w14:paraId="1E7A67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0.9365</w:t>
            </w:r>
          </w:p>
        </w:tc>
        <w:tc>
          <w:tcPr>
            <w:tcW w:w="406" w:type="pct"/>
            <w:tcBorders/>
            <w:vAlign w:val="center"/>
          </w:tcPr>
          <w:p w14:paraId="2B5484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0.9187</w:t>
            </w:r>
          </w:p>
        </w:tc>
        <w:tc>
          <w:tcPr>
            <w:tcW w:w="108" w:type="pct"/>
            <w:vMerge w:val="continue"/>
            <w:tcBorders/>
          </w:tcPr>
          <w:p w14:paraId="55D821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2" w:type="pct"/>
            <w:tcBorders/>
            <w:shd w:val="clear" w:color="auto" w:fill="auto"/>
            <w:vAlign w:val="center"/>
          </w:tcPr>
          <w:p w14:paraId="0E69AB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1e</w:t>
            </w: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noBreakHyphen/>
            </w: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55D052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0.9411</w:t>
            </w:r>
          </w:p>
        </w:tc>
        <w:tc>
          <w:tcPr>
            <w:tcW w:w="403" w:type="pct"/>
            <w:tcBorders/>
            <w:shd w:val="clear" w:color="auto" w:fill="FDEEF0"/>
            <w:vAlign w:val="center"/>
          </w:tcPr>
          <w:p w14:paraId="05BD6C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0.9450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2A0A82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0.9425</w:t>
            </w:r>
          </w:p>
        </w:tc>
        <w:tc>
          <w:tcPr>
            <w:tcW w:w="466" w:type="pct"/>
            <w:tcBorders/>
            <w:shd w:val="clear" w:color="auto" w:fill="auto"/>
            <w:vAlign w:val="center"/>
          </w:tcPr>
          <w:p w14:paraId="3DCB38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0.9434</w:t>
            </w:r>
          </w:p>
        </w:tc>
      </w:tr>
      <w:tr w14:paraId="5588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7" w:type="pct"/>
            <w:tcBorders/>
            <w:vAlign w:val="center"/>
          </w:tcPr>
          <w:p w14:paraId="028BF1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泛化间隙</w:t>
            </w:r>
          </w:p>
        </w:tc>
        <w:tc>
          <w:tcPr>
            <w:tcW w:w="472" w:type="pct"/>
            <w:tcBorders/>
            <w:vAlign w:val="center"/>
          </w:tcPr>
          <w:p w14:paraId="58CF10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0.0618</w:t>
            </w:r>
          </w:p>
        </w:tc>
        <w:tc>
          <w:tcPr>
            <w:tcW w:w="472" w:type="pct"/>
            <w:tcBorders/>
            <w:vAlign w:val="center"/>
          </w:tcPr>
          <w:p w14:paraId="4904E7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0.0557</w:t>
            </w:r>
          </w:p>
        </w:tc>
        <w:tc>
          <w:tcPr>
            <w:tcW w:w="472" w:type="pct"/>
            <w:tcBorders/>
            <w:shd w:val="clear" w:color="auto" w:fill="E9E1FC"/>
            <w:vAlign w:val="center"/>
          </w:tcPr>
          <w:p w14:paraId="5FAB4C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0.0538</w:t>
            </w:r>
          </w:p>
        </w:tc>
        <w:tc>
          <w:tcPr>
            <w:tcW w:w="472" w:type="pct"/>
            <w:tcBorders/>
            <w:vAlign w:val="center"/>
          </w:tcPr>
          <w:p w14:paraId="6165C0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0.0532</w:t>
            </w:r>
          </w:p>
        </w:tc>
        <w:tc>
          <w:tcPr>
            <w:tcW w:w="406" w:type="pct"/>
            <w:tcBorders/>
            <w:vAlign w:val="center"/>
          </w:tcPr>
          <w:p w14:paraId="3BC33F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0.0565</w:t>
            </w:r>
          </w:p>
        </w:tc>
        <w:tc>
          <w:tcPr>
            <w:tcW w:w="108" w:type="pct"/>
            <w:vMerge w:val="continue"/>
            <w:tcBorders/>
          </w:tcPr>
          <w:p w14:paraId="6B10A4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2" w:type="pct"/>
            <w:tcBorders/>
            <w:shd w:val="clear" w:color="auto" w:fill="auto"/>
            <w:vAlign w:val="center"/>
          </w:tcPr>
          <w:p w14:paraId="545FA0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1e</w:t>
            </w: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noBreakHyphen/>
            </w: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3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0FCD59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0.9437</w:t>
            </w:r>
          </w:p>
        </w:tc>
        <w:tc>
          <w:tcPr>
            <w:tcW w:w="403" w:type="pct"/>
            <w:tcBorders/>
            <w:shd w:val="clear" w:color="auto" w:fill="FDEEF0"/>
            <w:vAlign w:val="center"/>
          </w:tcPr>
          <w:p w14:paraId="78FE6A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0.9455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1C1BE3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0.9426</w:t>
            </w:r>
          </w:p>
        </w:tc>
        <w:tc>
          <w:tcPr>
            <w:tcW w:w="466" w:type="pct"/>
            <w:tcBorders/>
            <w:shd w:val="clear" w:color="auto" w:fill="auto"/>
            <w:vAlign w:val="center"/>
          </w:tcPr>
          <w:p w14:paraId="5A3876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0.9424</w:t>
            </w:r>
          </w:p>
        </w:tc>
      </w:tr>
      <w:tr w14:paraId="705AB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7" w:type="pct"/>
            <w:tcBorders/>
            <w:shd w:val="clear" w:color="auto" w:fill="auto"/>
            <w:vAlign w:val="center"/>
          </w:tcPr>
          <w:p w14:paraId="6EC070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 xml:space="preserve">Δ </w:t>
            </w:r>
          </w:p>
        </w:tc>
        <w:tc>
          <w:tcPr>
            <w:tcW w:w="472" w:type="pct"/>
            <w:tcBorders/>
            <w:shd w:val="clear" w:color="auto" w:fill="auto"/>
            <w:vAlign w:val="center"/>
          </w:tcPr>
          <w:p w14:paraId="53045C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+0.0166</w:t>
            </w:r>
          </w:p>
        </w:tc>
        <w:tc>
          <w:tcPr>
            <w:tcW w:w="472" w:type="pct"/>
            <w:tcBorders/>
            <w:shd w:val="clear" w:color="auto" w:fill="auto"/>
            <w:vAlign w:val="center"/>
          </w:tcPr>
          <w:p w14:paraId="31895C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+0.0203</w:t>
            </w:r>
          </w:p>
        </w:tc>
        <w:tc>
          <w:tcPr>
            <w:tcW w:w="472" w:type="pct"/>
            <w:tcBorders/>
            <w:shd w:val="clear" w:color="auto" w:fill="E9E1FC"/>
            <w:vAlign w:val="center"/>
          </w:tcPr>
          <w:p w14:paraId="6EA011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+0.0204</w:t>
            </w:r>
          </w:p>
        </w:tc>
        <w:tc>
          <w:tcPr>
            <w:tcW w:w="472" w:type="pct"/>
            <w:tcBorders/>
            <w:shd w:val="clear" w:color="auto" w:fill="auto"/>
            <w:vAlign w:val="center"/>
          </w:tcPr>
          <w:p w14:paraId="338567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+0.0178</w:t>
            </w:r>
          </w:p>
        </w:tc>
        <w:tc>
          <w:tcPr>
            <w:tcW w:w="406" w:type="pct"/>
            <w:tcBorders/>
            <w:shd w:val="clear" w:color="auto" w:fill="auto"/>
            <w:vAlign w:val="center"/>
          </w:tcPr>
          <w:p w14:paraId="4D011B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—</w:t>
            </w:r>
          </w:p>
        </w:tc>
        <w:tc>
          <w:tcPr>
            <w:tcW w:w="108" w:type="pct"/>
            <w:vMerge w:val="continue"/>
            <w:tcBorders>
              <w:bottom w:val="nil"/>
            </w:tcBorders>
          </w:tcPr>
          <w:p w14:paraId="16B41EC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2" w:type="pct"/>
            <w:tcBorders/>
            <w:shd w:val="clear" w:color="auto" w:fill="auto"/>
            <w:vAlign w:val="center"/>
          </w:tcPr>
          <w:p w14:paraId="030BFB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1e</w:t>
            </w: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noBreakHyphen/>
            </w: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1E8F8B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0.9428</w:t>
            </w:r>
          </w:p>
        </w:tc>
        <w:tc>
          <w:tcPr>
            <w:tcW w:w="403" w:type="pct"/>
            <w:tcBorders/>
            <w:shd w:val="clear" w:color="auto" w:fill="FDEEF0"/>
            <w:vAlign w:val="center"/>
          </w:tcPr>
          <w:p w14:paraId="70485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0.9445</w:t>
            </w:r>
          </w:p>
        </w:tc>
        <w:tc>
          <w:tcPr>
            <w:tcW w:w="403" w:type="pct"/>
            <w:tcBorders/>
            <w:shd w:val="clear" w:color="auto" w:fill="auto"/>
            <w:vAlign w:val="center"/>
          </w:tcPr>
          <w:p w14:paraId="697F7E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0.9405</w:t>
            </w:r>
          </w:p>
        </w:tc>
        <w:tc>
          <w:tcPr>
            <w:tcW w:w="466" w:type="pct"/>
            <w:tcBorders/>
            <w:shd w:val="clear" w:color="auto" w:fill="auto"/>
            <w:vAlign w:val="center"/>
          </w:tcPr>
          <w:p w14:paraId="5DC802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280" w:lineRule="exact"/>
              <w:ind w:right="0"/>
              <w:jc w:val="center"/>
              <w:textAlignment w:val="auto"/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auto"/>
                <w:sz w:val="21"/>
                <w:szCs w:val="24"/>
                <w:vertAlign w:val="baseline"/>
                <w:lang w:val="en-US" w:eastAsia="zh-CN"/>
              </w:rPr>
              <w:t>0.9414</w:t>
            </w:r>
          </w:p>
        </w:tc>
      </w:tr>
    </w:tbl>
    <w:p w14:paraId="0296FD0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  <w:t>4.实验结果</w:t>
      </w:r>
    </w:p>
    <w:p w14:paraId="3BBE007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default" w:ascii="微软雅黑" w:hAnsi="微软雅黑" w:eastAsia="微软雅黑" w:cs="微软雅黑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4.1 四模型主结果</w:t>
      </w:r>
    </w:p>
    <w:p w14:paraId="328A86A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default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将四个模型调优后得到50000维下的完整评估指标（具体分析以及5000维对比看板请见figs/dashboard.html）：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555"/>
        <w:gridCol w:w="2154"/>
        <w:gridCol w:w="2173"/>
        <w:gridCol w:w="2250"/>
        <w:gridCol w:w="2290"/>
      </w:tblGrid>
      <w:tr w14:paraId="233AA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5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181BE4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模型</w:t>
            </w:r>
          </w:p>
        </w:tc>
        <w:tc>
          <w:tcPr>
            <w:tcW w:w="2154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2893FF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NaiveBayes</w:t>
            </w:r>
          </w:p>
        </w:tc>
        <w:tc>
          <w:tcPr>
            <w:tcW w:w="2173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3E8CF0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LogisticRegression</w:t>
            </w:r>
          </w:p>
        </w:tc>
        <w:tc>
          <w:tcPr>
            <w:tcW w:w="2250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FFFFFF" w:sz="6" w:space="0"/>
            </w:tcBorders>
            <w:shd w:val="clear" w:color="auto" w:fill="DBE3F4" w:themeFill="accent1" w:themeFillTint="32"/>
          </w:tcPr>
          <w:p w14:paraId="5ADA4B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LinearSVC</w:t>
            </w:r>
          </w:p>
        </w:tc>
        <w:tc>
          <w:tcPr>
            <w:tcW w:w="2290" w:type="dxa"/>
            <w:tcBorders>
              <w:top w:val="single" w:color="4874CB" w:themeColor="accent1" w:sz="6" w:space="0"/>
              <w:left w:val="single" w:color="FFFFFF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DBE3F4" w:themeFill="accent1" w:themeFillTint="32"/>
          </w:tcPr>
          <w:p w14:paraId="5E3135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MLP</w:t>
            </w:r>
          </w:p>
        </w:tc>
      </w:tr>
      <w:tr w14:paraId="06E64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4FCA22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超参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2E53B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α=0.1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051E6C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C=100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0D634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C=1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59DA4D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(100,)、α=1e-3</w:t>
            </w:r>
          </w:p>
        </w:tc>
      </w:tr>
      <w:tr w14:paraId="59DD0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2E11D8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Accuracy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79CAF4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0.9388 ± 0.0053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124C5C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0.9403 ± 0.0068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7406D4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0.9432 ± 0.0063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15CFBC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0.9442 ± 0.0064</w:t>
            </w:r>
          </w:p>
        </w:tc>
      </w:tr>
      <w:tr w14:paraId="59ADE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5263C7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MacroF1均值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132D64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0.939109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39CF9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0.940505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45F7D3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0.943393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0E29EA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0.944500</w:t>
            </w:r>
          </w:p>
        </w:tc>
      </w:tr>
      <w:tr w14:paraId="57666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03F8BF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Macro-F1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0E76A1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0.9391 ± 0.0053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3EA363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0.9405 ± 0.0068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5BB568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0.9434 ± 0.0062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124BE5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0.9445 ± 0.0060</w:t>
            </w:r>
          </w:p>
        </w:tc>
      </w:tr>
      <w:tr w14:paraId="5DCFF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FCB18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Weighted-F1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19B8B7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0.9391 ± 0.0053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3351C8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0.9405 ± 0.0068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1D72DF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0.9433 ± 0.0063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0C5918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0.9444 ± 0.0063</w:t>
            </w:r>
          </w:p>
        </w:tc>
      </w:tr>
      <w:tr w14:paraId="642F6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A7643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训练-MacroF1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47F5CE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0.9929 ± 0.0013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4CF0D7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0.9998 ± 0.0008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59EEFD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0.9996 ± 0.0002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716140D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0.9939 ± 0.0019</w:t>
            </w:r>
          </w:p>
        </w:tc>
      </w:tr>
      <w:tr w14:paraId="53DA1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736E5E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泛化间隙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65A8C5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0.0565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21ACBA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0.0593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18E33C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0.0562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C1D0ED" w:themeColor="accent1" w:themeTint="56" w:sz="6" w:space="0"/>
              <w:right w:val="single" w:color="4874CB" w:themeColor="accent1" w:sz="6" w:space="0"/>
            </w:tcBorders>
            <w:shd w:val="clear" w:color="auto" w:fill="FFFFFF"/>
          </w:tcPr>
          <w:p w14:paraId="76F677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0.0493</w:t>
            </w:r>
          </w:p>
        </w:tc>
      </w:tr>
      <w:tr w14:paraId="1D5A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55" w:type="dxa"/>
            <w:tcBorders>
              <w:top w:val="single" w:color="C1D0ED" w:themeColor="accent1" w:themeTint="56" w:sz="6" w:space="0"/>
              <w:left w:val="single" w:color="4874CB" w:themeColor="accent1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38EA99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单折耗时(s)</w:t>
            </w:r>
          </w:p>
        </w:tc>
        <w:tc>
          <w:tcPr>
            <w:tcW w:w="2154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0B52B9C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0.02</w:t>
            </w:r>
          </w:p>
        </w:tc>
        <w:tc>
          <w:tcPr>
            <w:tcW w:w="2173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5E58AC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4.5</w:t>
            </w:r>
          </w:p>
        </w:tc>
        <w:tc>
          <w:tcPr>
            <w:tcW w:w="225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C1D0ED" w:themeColor="accent1" w:themeTint="56" w:sz="6" w:space="0"/>
            </w:tcBorders>
            <w:shd w:val="clear" w:color="auto" w:fill="FFFFFF"/>
          </w:tcPr>
          <w:p w14:paraId="090675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0.51</w:t>
            </w:r>
          </w:p>
        </w:tc>
        <w:tc>
          <w:tcPr>
            <w:tcW w:w="2290" w:type="dxa"/>
            <w:tcBorders>
              <w:top w:val="single" w:color="C1D0ED" w:themeColor="accent1" w:themeTint="56" w:sz="6" w:space="0"/>
              <w:left w:val="single" w:color="C1D0ED" w:themeColor="accent1" w:themeTint="5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</w:tcPr>
          <w:p w14:paraId="62B71C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vertAlign w:val="baseline"/>
                <w:lang w:val="en-US" w:eastAsia="zh-CN"/>
              </w:rPr>
              <w:t>195.2</w:t>
            </w:r>
          </w:p>
        </w:tc>
      </w:tr>
    </w:tbl>
    <w:p w14:paraId="30B7376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4.2 最优模型与错误分析</w:t>
      </w:r>
    </w:p>
    <w:p w14:paraId="158E222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本章针对最优模型 LinearSVC (C=1) 开展错误分析，定位模型失效模式，判断性能瓶颈来自模型本身还是特征表示。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713"/>
        <w:gridCol w:w="3024"/>
        <w:gridCol w:w="870"/>
        <w:gridCol w:w="1267"/>
        <w:gridCol w:w="3548"/>
      </w:tblGrid>
      <w:tr w14:paraId="68C74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13" w:type="dxa"/>
            <w:tcBorders>
              <w:top w:val="single" w:color="75BD42" w:themeColor="accent4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FFFFFF" w:sz="6" w:space="0"/>
            </w:tcBorders>
            <w:shd w:val="clear" w:color="auto" w:fill="E3F2D9" w:themeFill="accent4" w:themeFillTint="32"/>
            <w:vAlign w:val="center"/>
          </w:tcPr>
          <w:p w14:paraId="369C31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  <w:t>类别</w:t>
            </w:r>
          </w:p>
        </w:tc>
        <w:tc>
          <w:tcPr>
            <w:tcW w:w="3024" w:type="dxa"/>
            <w:tcBorders>
              <w:top w:val="single" w:color="75BD42" w:themeColor="accent4" w:sz="6" w:space="0"/>
              <w:left w:val="single" w:color="FFFFFF" w:sz="6" w:space="0"/>
              <w:bottom w:val="single" w:color="D0E8BF" w:themeColor="accent4" w:themeTint="56" w:sz="6" w:space="0"/>
              <w:right w:val="single" w:color="FFFFFF" w:sz="6" w:space="0"/>
            </w:tcBorders>
            <w:shd w:val="clear" w:color="auto" w:fill="E3F2D9" w:themeFill="accent4" w:themeFillTint="32"/>
            <w:vAlign w:val="center"/>
          </w:tcPr>
          <w:p w14:paraId="37AAD8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  <w:t>TF</w:t>
            </w: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  <w:noBreakHyphen/>
            </w: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  <w:t>IDF 关键词</w:t>
            </w:r>
          </w:p>
        </w:tc>
        <w:tc>
          <w:tcPr>
            <w:tcW w:w="870" w:type="dxa"/>
            <w:tcBorders>
              <w:top w:val="single" w:color="75BD42" w:themeColor="accent4" w:sz="6" w:space="0"/>
              <w:left w:val="single" w:color="FFFFFF" w:sz="6" w:space="0"/>
              <w:bottom w:val="single" w:color="D0E8BF" w:themeColor="accent4" w:themeTint="56" w:sz="6" w:space="0"/>
              <w:right w:val="single" w:color="FFFFFF" w:sz="6" w:space="0"/>
            </w:tcBorders>
            <w:shd w:val="clear" w:color="auto" w:fill="E3F2D9" w:themeFill="accent4" w:themeFillTint="32"/>
            <w:vAlign w:val="center"/>
          </w:tcPr>
          <w:p w14:paraId="020240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  <w:t>F1</w:t>
            </w:r>
          </w:p>
        </w:tc>
        <w:tc>
          <w:tcPr>
            <w:tcW w:w="1267" w:type="dxa"/>
            <w:tcBorders>
              <w:top w:val="single" w:color="75BD42" w:themeColor="accent4" w:sz="6" w:space="0"/>
              <w:left w:val="single" w:color="FFFFFF" w:sz="6" w:space="0"/>
              <w:bottom w:val="single" w:color="D0E8BF" w:themeColor="accent4" w:themeTint="56" w:sz="6" w:space="0"/>
              <w:right w:val="single" w:color="FFFFFF" w:sz="6" w:space="0"/>
            </w:tcBorders>
            <w:shd w:val="clear" w:color="auto" w:fill="E3F2D9" w:themeFill="accent4" w:themeFillTint="32"/>
          </w:tcPr>
          <w:p w14:paraId="455831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  <w:t>是否易混淆</w:t>
            </w:r>
          </w:p>
        </w:tc>
        <w:tc>
          <w:tcPr>
            <w:tcW w:w="3548" w:type="dxa"/>
            <w:vMerge w:val="restart"/>
            <w:tcBorders>
              <w:top w:val="single" w:color="75BD42" w:themeColor="accent4" w:sz="6" w:space="0"/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23C14B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/>
                <w:i w:val="0"/>
                <w:iCs w:val="0"/>
                <w:color w:val="08090C"/>
                <w:sz w:val="20"/>
                <w:szCs w:val="22"/>
                <w:lang w:val="en-US" w:eastAsia="zh-CN"/>
              </w:rPr>
            </w:pPr>
            <w:r>
              <w:drawing>
                <wp:inline distT="0" distB="0" distL="114300" distR="114300">
                  <wp:extent cx="2158365" cy="1957070"/>
                  <wp:effectExtent l="0" t="0" r="3810" b="508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65" cy="195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561D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49D4B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PC 硬件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01D3DD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drive,card,ide,scsi,controller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F3119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0.8685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496989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是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22F751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4506B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366DF8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Windows/DOS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006D61D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windows,dos,microsoft,ms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DDD6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0.8999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46C008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是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439C0F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00F5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0A9D9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图形 / 3D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570B4C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graphics,image,3d,files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6487AD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0.9065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55E7A5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是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4E9E6E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54830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0B9AD0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电子电路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6815F7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circuit,power,used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7BDF47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0.9096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33021F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是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01840B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01A48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5923CA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汽车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27A4B2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car,cars,engine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10547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0.9669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421702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否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000F7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7B8AB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E3A9C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医学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08B41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doctor,medical,pitt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43F055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0.9751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274D00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否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76E368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38BD8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24BD6C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加密 / 密码学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4D4D99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clipper,key,encryption,escrow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2BAAF5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0.9755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346D20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否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4C51D0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36D89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7175AD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摩托车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4F1953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bike,ride,riding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7E2FCC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0.9765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1C2848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否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4CF24E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24962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73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5FF65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棒球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53B904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baseball,game,team,players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3604C1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0.9833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D0E8BF" w:themeColor="accent4" w:themeTint="56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1DF78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否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right w:val="single" w:color="75BD42" w:themeColor="accent4" w:sz="6" w:space="0"/>
            </w:tcBorders>
            <w:shd w:val="clear" w:color="auto" w:fill="auto"/>
          </w:tcPr>
          <w:p w14:paraId="324C27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  <w:tr w14:paraId="313CC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08" w:hRule="atLeast"/>
        </w:trPr>
        <w:tc>
          <w:tcPr>
            <w:tcW w:w="1713" w:type="dxa"/>
            <w:tcBorders>
              <w:top w:val="single" w:color="D0E8BF" w:themeColor="accent4" w:themeTint="56" w:sz="6" w:space="0"/>
              <w:left w:val="single" w:color="75BD42" w:themeColor="accent4" w:sz="6" w:space="0"/>
              <w:bottom w:val="single" w:color="75BD42" w:themeColor="accent4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373C41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中东政治</w:t>
            </w:r>
          </w:p>
        </w:tc>
        <w:tc>
          <w:tcPr>
            <w:tcW w:w="3024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75BD42" w:themeColor="accent4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7810A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israel,jews,arab,jewish,turkish</w:t>
            </w:r>
          </w:p>
        </w:tc>
        <w:tc>
          <w:tcPr>
            <w:tcW w:w="870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75BD42" w:themeColor="accent4" w:sz="6" w:space="0"/>
              <w:right w:val="single" w:color="D0E8BF" w:themeColor="accent4" w:themeTint="56" w:sz="6" w:space="0"/>
            </w:tcBorders>
            <w:shd w:val="clear" w:color="auto" w:fill="FFFFFF"/>
            <w:vAlign w:val="center"/>
          </w:tcPr>
          <w:p w14:paraId="156266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0.9907</w:t>
            </w:r>
          </w:p>
        </w:tc>
        <w:tc>
          <w:tcPr>
            <w:tcW w:w="1267" w:type="dxa"/>
            <w:tcBorders>
              <w:top w:val="single" w:color="D0E8BF" w:themeColor="accent4" w:themeTint="56" w:sz="6" w:space="0"/>
              <w:left w:val="single" w:color="D0E8BF" w:themeColor="accent4" w:themeTint="56" w:sz="6" w:space="0"/>
              <w:bottom w:val="single" w:color="75BD42" w:themeColor="accent4" w:sz="6" w:space="0"/>
              <w:right w:val="single" w:color="D0E8BF" w:themeColor="accent4" w:themeTint="56" w:sz="6" w:space="0"/>
            </w:tcBorders>
            <w:shd w:val="clear" w:color="auto" w:fill="FFFFFF"/>
          </w:tcPr>
          <w:p w14:paraId="4233A7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  <w:t>否</w:t>
            </w:r>
          </w:p>
        </w:tc>
        <w:tc>
          <w:tcPr>
            <w:tcW w:w="3548" w:type="dxa"/>
            <w:vMerge w:val="continue"/>
            <w:tcBorders>
              <w:left w:val="single" w:color="FFFFFF" w:sz="6" w:space="0"/>
              <w:bottom w:val="single" w:color="75BD42" w:themeColor="accent4" w:sz="6" w:space="0"/>
              <w:right w:val="single" w:color="75BD42" w:themeColor="accent4" w:sz="6" w:space="0"/>
            </w:tcBorders>
            <w:shd w:val="clear" w:color="auto" w:fill="auto"/>
          </w:tcPr>
          <w:p w14:paraId="37994A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b w:val="0"/>
                <w:i w:val="0"/>
                <w:iCs w:val="0"/>
                <w:color w:val="000000"/>
                <w:sz w:val="20"/>
                <w:szCs w:val="22"/>
                <w:lang w:val="en-US" w:eastAsia="zh-CN"/>
              </w:rPr>
            </w:pPr>
          </w:p>
        </w:tc>
      </w:tr>
    </w:tbl>
    <w:p w14:paraId="5721DE5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default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4 个计算机领域类别共享大量通用技术词汇，话题边界模糊，而汽车、政治等类别特征词几乎无重叠，容易被线性模型区分。线性模型基于词汇重叠完成分类，推测性能瓶颈来自词袋特征本身局限，后续提升尝试优先改进特征表示。</w:t>
      </w:r>
    </w:p>
    <w:p w14:paraId="4E39AE7C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right="0" w:right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  <w:t>5.思考</w:t>
      </w:r>
    </w:p>
    <w:p w14:paraId="0255F48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5.1 为什么在这个数据集上，SVM和逻辑回归的表现通常很好？</w:t>
      </w:r>
    </w:p>
    <w:p w14:paraId="2906CCE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在50000维下实验总分数中MLP≈SVM&gt;LR&gt;NB，虽然MLP微高，但结合泛化性能评判可分性后认为SVM和逻辑回归表现更好。随维度升高，泛化性能提升，L1正则性能崩溃而L2良好，信息分散在弱特征。结合错误模式与较小泛化间隙，证实高维稀疏词袋下数据近似线性可分，线性模型与数据结构匹配，逼近该表示的性能上限，因此表现优异。</w:t>
      </w:r>
    </w:p>
    <w:p w14:paraId="717215B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 xml:space="preserve">5.2 MLP模型的性能是否可以通过调整网络结构或训练参数来进一步提升？是否存在过拟合的风险？ </w:t>
      </w:r>
    </w:p>
    <w:p w14:paraId="5C3DE8E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i w:val="0"/>
          <w:iCs w:val="0"/>
          <w:color w:val="auto"/>
          <w:sz w:val="20"/>
          <w:szCs w:val="22"/>
          <w:lang w:val="en-US" w:eastAsia="zh-CN"/>
        </w:rPr>
        <w:t>通过网格搜索、迭代控制、多规模学习曲线分析实验发现，MLP从高维特征中获益更多，但尝试加宽、加深网络、提高迭代轮次均未提升效果，任务近似线性可分，现有网络容量已经充足，多余容量仅引入方差。MLP的过拟合与数据量强相关：小样本下过拟合严重，全量样本时泛化间隙最小。sklearn MLP将稀疏输入稠密化，带来时间与内存开销。</w:t>
      </w:r>
    </w:p>
    <w:p w14:paraId="2F8153B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default" w:ascii="微软雅黑" w:hAnsi="微软雅黑" w:eastAsia="微软雅黑" w:cs="微软雅黑"/>
          <w:i w:val="0"/>
          <w:iCs w:val="0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lang w:val="en-US" w:eastAsia="zh-CN"/>
        </w:rPr>
        <w:t>5.3</w:t>
      </w:r>
      <w:r>
        <w:rPr>
          <w:rFonts w:hint="default" w:ascii="微软雅黑" w:hAnsi="微软雅黑" w:eastAsia="微软雅黑" w:cs="微软雅黑"/>
          <w:i w:val="0"/>
          <w:iCs w:val="0"/>
          <w:color w:val="auto"/>
          <w:lang w:val="en-US" w:eastAsia="zh-CN"/>
        </w:rPr>
        <w:t xml:space="preserve"> 除了TF-IDF，还有哪些文本表示方法？（例如：词袋模型、Word2Vec、BERT等）</w:t>
      </w:r>
    </w:p>
    <w:tbl>
      <w:tblPr>
        <w:tblStyle w:val="4"/>
        <w:tblW w:w="10422" w:type="dxa"/>
        <w:tblInd w:w="-109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19"/>
        <w:gridCol w:w="3543"/>
        <w:gridCol w:w="4760"/>
      </w:tblGrid>
      <w:tr w14:paraId="7413050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1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71FD071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表示方法</w:t>
            </w:r>
          </w:p>
        </w:tc>
        <w:tc>
          <w:tcPr>
            <w:tcW w:w="354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BBA68D8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特点</w:t>
            </w:r>
          </w:p>
        </w:tc>
        <w:tc>
          <w:tcPr>
            <w:tcW w:w="476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01EA5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default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相比TF-IDF</w:t>
            </w:r>
          </w:p>
        </w:tc>
      </w:tr>
      <w:tr w14:paraId="7ACE0F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c>
          <w:tcPr>
            <w:tcW w:w="211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9C7EB7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TF-IDF（本实验）</w:t>
            </w:r>
          </w:p>
        </w:tc>
        <w:tc>
          <w:tcPr>
            <w:tcW w:w="3543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500FF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稀疏可解释，无需训练</w:t>
            </w:r>
          </w:p>
        </w:tc>
        <w:tc>
          <w:tcPr>
            <w:tcW w:w="476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E6B36C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高维，无语义，无法处理同义/多义</w:t>
            </w:r>
          </w:p>
        </w:tc>
      </w:tr>
      <w:tr w14:paraId="6F94D3A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83138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词袋 / One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noBreakHyphen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hot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75D3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统计词频，无权重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3F821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丢失IDF判别能力，效果较差</w:t>
            </w:r>
          </w:p>
        </w:tc>
      </w:tr>
      <w:tr w14:paraId="7D8425B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84C4B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Word2Vec/GloVe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0682A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静态稠密词向量，文档取均值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FE77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捕捉同义，不能处理多义，丢失词序</w:t>
            </w:r>
          </w:p>
        </w:tc>
      </w:tr>
      <w:tr w14:paraId="451A18B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3909E0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LSA/LDA 主题模型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9898F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基于潜在主题降维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2CBFC8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缓解语义相近词汇混淆，需调主题数</w:t>
            </w:r>
          </w:p>
        </w:tc>
      </w:tr>
      <w:tr w14:paraId="55F6F62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1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2957AC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BERT 预训练</w:t>
            </w:r>
          </w:p>
        </w:tc>
        <w:tc>
          <w:tcPr>
            <w:tcW w:w="3543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13C16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上下文感知，支持多义理解</w:t>
            </w:r>
          </w:p>
        </w:tc>
        <w:tc>
          <w:tcPr>
            <w:tcW w:w="476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820D6C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80" w:lineRule="exact"/>
              <w:ind w:left="0" w:right="0"/>
              <w:jc w:val="left"/>
              <w:textAlignment w:val="auto"/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</w:pPr>
            <w:r>
              <w:rPr>
                <w:rFonts w:hint="eastAsia" w:ascii="微软雅黑 Light" w:hAnsi="微软雅黑 Light" w:eastAsia="微软雅黑 Light" w:cs="微软雅黑 Light"/>
                <w:i w:val="0"/>
                <w:iCs w:val="0"/>
                <w:color w:val="auto"/>
                <w:sz w:val="20"/>
                <w:szCs w:val="22"/>
                <w:lang w:val="en-US" w:eastAsia="zh-CN"/>
              </w:rPr>
              <w:t>性能上限高，模型大、速度慢，需GPU</w:t>
            </w:r>
          </w:p>
        </w:tc>
      </w:tr>
    </w:tbl>
    <w:p w14:paraId="191F935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right="0" w:rightChars="0"/>
        <w:jc w:val="left"/>
        <w:textAlignment w:val="auto"/>
        <w:rPr>
          <w:rFonts w:hint="default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auto"/>
          <w:sz w:val="22"/>
          <w:szCs w:val="28"/>
          <w:lang w:val="en-US" w:eastAsia="zh-CN"/>
        </w:rPr>
        <w:t>6.创新点与局限性</w:t>
      </w:r>
    </w:p>
    <w:p w14:paraId="54CBA902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80" w:lineRule="exact"/>
        <w:ind w:left="0" w:right="0"/>
        <w:jc w:val="left"/>
        <w:textAlignment w:val="auto"/>
        <w:rPr>
          <w:rFonts w:hint="eastAsia" w:ascii="微软雅黑 Light" w:hAnsi="微软雅黑 Light" w:eastAsia="微软雅黑 Light" w:cs="微软雅黑 Light"/>
          <w:b w:val="0"/>
          <w:bCs w:val="0"/>
          <w:i w:val="0"/>
          <w:iCs w:val="0"/>
          <w:color w:val="auto"/>
          <w:kern w:val="2"/>
          <w:sz w:val="20"/>
          <w:szCs w:val="22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i w:val="0"/>
          <w:iCs w:val="0"/>
          <w:color w:val="auto"/>
          <w:kern w:val="2"/>
          <w:sz w:val="20"/>
          <w:szCs w:val="22"/>
          <w:lang w:val="en-US" w:eastAsia="zh-CN" w:bidi="ar-SA"/>
        </w:rPr>
        <w:t>创新点：</w:t>
      </w:r>
      <w:r>
        <w:rPr>
          <w:rFonts w:hint="eastAsia" w:ascii="微软雅黑 Light" w:hAnsi="微软雅黑 Light" w:eastAsia="微软雅黑 Light" w:cs="微软雅黑 Light"/>
          <w:b w:val="0"/>
          <w:bCs w:val="0"/>
          <w:i w:val="0"/>
          <w:iCs w:val="0"/>
          <w:color w:val="auto"/>
          <w:kern w:val="2"/>
          <w:sz w:val="20"/>
          <w:szCs w:val="22"/>
          <w:lang w:val="en-US" w:eastAsia="zh-CN" w:bidi="ar-SA"/>
        </w:rPr>
        <w:t>1.配对t检验甄别真实差异2.随机标签对照校验逻辑3.SHA256防测试集泄露4.对照实验排除备选假设5.多视角消融定位收益6.参数组合挖掘交互效应</w:t>
      </w:r>
    </w:p>
    <w:p w14:paraId="5C4A73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80" w:lineRule="atLeast"/>
        <w:ind w:left="0" w:right="0"/>
        <w:jc w:val="left"/>
        <w:rPr>
          <w:rFonts w:hint="default" w:ascii="微软雅黑 Light" w:hAnsi="微软雅黑 Light" w:eastAsia="微软雅黑 Light" w:cs="微软雅黑 Light"/>
          <w:i w:val="0"/>
          <w:iCs w:val="0"/>
          <w:color w:val="auto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/>
          <w:i w:val="0"/>
          <w:iCs w:val="0"/>
          <w:color w:val="auto"/>
          <w:lang w:val="en-US" w:eastAsia="zh-CN"/>
        </w:rPr>
        <w:t>局限性：</w:t>
      </w:r>
      <w:r>
        <w:rPr>
          <w:rFonts w:hint="eastAsia" w:ascii="微软雅黑 Light" w:hAnsi="微软雅黑 Light" w:eastAsia="微软雅黑 Light" w:cs="微软雅黑 Light"/>
          <w:b w:val="0"/>
          <w:bCs w:val="0"/>
          <w:i w:val="0"/>
          <w:iCs w:val="0"/>
          <w:color w:val="auto"/>
          <w:kern w:val="2"/>
          <w:sz w:val="20"/>
          <w:szCs w:val="22"/>
          <w:lang w:val="en-US" w:eastAsia="zh-CN" w:bidi="ar-SA"/>
        </w:rPr>
        <w:t>·1.数据集含近重复样本2.类别标签为反推得到3.MLP调参搜索不完备4.结论迁移性未验证</w:t>
      </w:r>
    </w:p>
    <w:sectPr>
      <w:pgSz w:w="11906" w:h="16838"/>
      <w:pgMar w:top="1440" w:right="850" w:bottom="144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方正小标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清仿宋 简 Bold">
    <w:panose1 w:val="02000800000000000000"/>
    <w:charset w:val="86"/>
    <w:family w:val="auto"/>
    <w:pitch w:val="default"/>
    <w:sig w:usb0="A00002BF" w:usb1="184F6CFA" w:usb2="00000012" w:usb3="00000000" w:csb0="00040001" w:csb1="00000000"/>
  </w:font>
  <w:font w:name="禹卫书法隶书简体">
    <w:panose1 w:val="02000603000000000000"/>
    <w:charset w:val="86"/>
    <w:family w:val="auto"/>
    <w:pitch w:val="default"/>
    <w:sig w:usb0="80000003" w:usb1="0801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MicrosoftYaHei-Bold-0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YaHei-0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F701FB"/>
    <w:rsid w:val="2BC91980"/>
    <w:rsid w:val="31F7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uiPriority w:val="0"/>
    <w:rPr>
      <w:color w:val="0000FF"/>
      <w:u w:val="single"/>
    </w:rPr>
  </w:style>
  <w:style w:type="character" w:styleId="8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182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2026-10-12T06:50:00Z</dcterms:created>
  <dc:creator>错误纠正</dc:creator>
  <cp:lastModifiedBy>错误纠正</cp:lastModifiedBy>
  <dcterms:modified xsi:type="dcterms:W3CDTF">2026-10-15T10:43:26Z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86187EC94D5B476E95447026894DF21C_11</vt:lpwstr>
  </property>
  <property fmtid="{D5CDD505-2E9C-101B-9397-08002B2CF9AE}" pid="4" name="KSOTemplateDocerSaveRecord">
    <vt:lpwstr>eyJoZGlkIjoiOTc1MjVjZTA2YjkzNDc3YzdhNDRjNDdlMTJmODA4ZGEiLCJ1c2VySWQiOiIxNjI1NjQzMDA3In0=</vt:lpwstr>
  </property>
</Properties>
</file>