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9DC4"/>
          <w:sz w:val="19"/>
          <w:szCs w:val="19"/>
        </w:rPr>
        <w:t xml:space="preserve">HARD X-RAY ANALYSIS</w:t>
      </w:r>
    </w:p>
    <w:p>
      <w:pPr>
        <w:spacing w:after="80" w:before="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B4964"/>
          <w:sz w:val="48"/>
          <w:szCs w:val="48"/>
        </w:rPr>
        <w:t xml:space="preserve">XAFS Workbench</w:t>
      </w:r>
    </w:p>
    <w:p>
      <w:pPr>
        <w:spacing w:after="160" w:before="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7202A"/>
          <w:sz w:val="32"/>
          <w:szCs w:val="32"/>
        </w:rPr>
        <w:t xml:space="preserve">Athena 数据处理与 Artemis/IFEFFIT 分阶段拟合说明</w:t>
      </w:r>
    </w:p>
    <w:p>
      <w:pPr>
        <w:spacing w:after="360" w:before="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09DC4"/>
          <w:sz w:val="28"/>
          <w:szCs w:val="28"/>
        </w:rPr>
        <w:t xml:space="preserve">重点：从第一配位层扩展到第二配位层</w:t>
      </w:r>
    </w:p>
    <w:tbl>
      <w:tblPr>
        <w:tblW w:type="dxa" w:w="9020"/>
        <w:tblBorders>
          <w:top w:val="single" w:color="C9D6E2" w:sz="1"/>
          <w:left w:val="single" w:color="009DC4" w:sz="8"/>
          <w:bottom w:val="single" w:color="C9D6E2" w:sz="1"/>
          <w:right w:val="single" w:color="C9D6E2" w:sz="1"/>
          <w:insideH w:val="single" w:color="C9D6E2" w:sz="1"/>
          <w:insideV w:val="single" w:color="C9D6E2" w:sz="1"/>
        </w:tblBorders>
      </w:tblPr>
      <w:tblGrid>
        <w:gridCol w:w="9020"/>
      </w:tblGrid>
      <w:tr>
        <w:tc>
          <w:tcPr>
            <w:tcW w:type="dxa" w:w="9020"/>
            <w:shd w:fill="EAF7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9DC4"/>
                <w:sz w:val="22"/>
                <w:szCs w:val="22"/>
              </w:rPr>
              <w:t xml:space="preserve">适用范围</w:t>
            </w:r>
          </w:p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用于当前本地 XAFS Workbench（v29 及以后）的操作。数据处理调用 Demeter/Athena，路径与拟合调用 Demeter/Artemis + IFEFFIT，小波变换调用 HAMA Fortran；不使用 XrayLarch 处理或拟合。</w:t>
            </w:r>
          </w:p>
        </w:tc>
      </w:tr>
    </w:tbl>
    <w:p>
      <w:pPr>
        <w:spacing w:after="80" w:before="520" w:line="320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5B677A"/>
          <w:sz w:val="21"/>
          <w:szCs w:val="21"/>
        </w:rPr>
        <w:t xml:space="preserve">版本：2026-09-08</w:t>
      </w:r>
    </w:p>
    <w:p>
      <w:pPr>
        <w:spacing w:after="12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77A"/>
          <w:sz w:val="19"/>
          <w:szCs w:val="19"/>
        </w:rPr>
        <w:t xml:space="preserve">说明：界面数值仅作操作示例。论文报告必须使用本次样品、所选 FEFF 路径和最终审核通过的拟合结果。</w:t>
      </w:r>
    </w:p>
    <w:p>
      <w:r>
        <w:br w:type="page"/>
      </w:r>
    </w:p>
    <w:p>
      <w:pPr>
        <w:pStyle w:val="Heading1"/>
        <w:keepNext/>
        <w:spacing w:after="140" w:before="320"/>
      </w:pPr>
      <w:r>
        <w:t xml:space="preserve">1. 一页看懂完整流程</w:t>
      </w:r>
    </w:p>
    <w:tbl>
      <w:tblPr>
        <w:tblW w:type="dxa" w:w="9020"/>
        <w:tblBorders>
          <w:top w:val="single" w:color="C9D6E2" w:sz="1"/>
          <w:left w:val="single" w:color="14945E" w:sz="8"/>
          <w:bottom w:val="single" w:color="C9D6E2" w:sz="1"/>
          <w:right w:val="single" w:color="C9D6E2" w:sz="1"/>
          <w:insideH w:val="single" w:color="C9D6E2" w:sz="1"/>
          <w:insideV w:val="single" w:color="C9D6E2" w:sz="1"/>
        </w:tblBorders>
      </w:tblPr>
      <w:tblGrid>
        <w:gridCol w:w="9020"/>
      </w:tblGrid>
      <w:tr>
        <w:tc>
          <w:tcPr>
            <w:tcW w:type="dxa" w:w="9020"/>
            <w:shd w:fill="EAF8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4945E"/>
                <w:sz w:val="22"/>
                <w:szCs w:val="22"/>
              </w:rPr>
              <w:t xml:space="preserve">推荐顺序</w:t>
            </w:r>
          </w:p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Athena 预处理 → 生成/选择 FEFF 路径 → 第一壳几何参数 → 第一壳无序参数 → 标准样标定 S₀²或未知样固定 S₀² → 保存并回填 → 加入第二壳 → 比较统计量和物理合理性 → 导出。</w:t>
            </w:r>
          </w:p>
        </w:tc>
      </w:tr>
    </w:tbl>
    <w:p>
      <w:pPr>
        <w:pStyle w:val="Heading2"/>
        <w:keepNext/>
        <w:spacing w:after="140" w:before="220"/>
      </w:pPr>
      <w:r>
        <w:t xml:space="preserve">1.1 标准样与未知样不要混用策略</w:t>
      </w:r>
    </w:p>
    <w:tbl>
      <w:tblPr>
        <w:tblW w:type="dxa" w:w="9020"/>
        <w:tblBorders>
          <w:top w:val="single" w:color="C9D6E2" w:sz="1"/>
          <w:left w:val="single" w:color="C9D6E2" w:sz="1"/>
          <w:bottom w:val="single" w:color="C9D6E2" w:sz="1"/>
          <w:right w:val="single" w:color="C9D6E2" w:sz="1"/>
          <w:insideH w:val="single" w:color="C9D6E2" w:sz="1"/>
          <w:insideV w:val="single" w:color="C9D6E2" w:sz="1"/>
        </w:tblBorders>
      </w:tblPr>
      <w:tblGrid>
        <w:gridCol w:w="1450"/>
        <w:gridCol w:w="1900"/>
        <w:gridCol w:w="1900"/>
        <w:gridCol w:w="3770"/>
      </w:tblGrid>
      <w:tr>
        <w:trPr>
          <w:tblHeader/>
        </w:trPr>
        <w:tc>
          <w:tcPr>
            <w:tcW w:type="dxa" w:w="1450"/>
            <w:shd w:fill="0B49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样品类型</w:t>
            </w:r>
          </w:p>
        </w:tc>
        <w:tc>
          <w:tcPr>
            <w:tcW w:type="dxa" w:w="1900"/>
            <w:shd w:fill="0B49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S₀²</w:t>
            </w:r>
          </w:p>
        </w:tc>
        <w:tc>
          <w:tcPr>
            <w:tcW w:type="dxa" w:w="1900"/>
            <w:shd w:fill="0B49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CN</w:t>
            </w:r>
          </w:p>
        </w:tc>
        <w:tc>
          <w:tcPr>
            <w:tcW w:type="dxa" w:w="3770"/>
            <w:shd w:fill="0B49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推荐动作</w:t>
            </w:r>
          </w:p>
        </w:tc>
      </w:tr>
      <w:tr>
        <w:tc>
          <w:tcPr>
            <w:tcW w:type="dxa" w:w="1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标准样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初值 0.85，最后允许变化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按晶体结构固定</w:t>
            </w:r>
          </w:p>
        </w:tc>
        <w:tc>
          <w:tcPr>
            <w:tcW w:type="dxa" w:w="377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只使用第一壳标定 S₀²；不要用高壳层“救”振幅</w:t>
            </w:r>
          </w:p>
        </w:tc>
      </w:tr>
      <w:tr>
        <w:tc>
          <w:tcPr>
            <w:tcW w:type="dxa" w:w="145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未知样</w:t>
            </w:r>
          </w:p>
        </w:tc>
        <w:tc>
          <w:tcPr>
            <w:tcW w:type="dxa" w:w="190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固定为同吸收边标准样标定值</w:t>
            </w:r>
          </w:p>
        </w:tc>
        <w:tc>
          <w:tcPr>
            <w:tcW w:type="dxa" w:w="190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可变化或按模型约束</w:t>
            </w:r>
          </w:p>
        </w:tc>
        <w:tc>
          <w:tcPr>
            <w:tcW w:type="dxa" w:w="377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先第一壳，接受后再逐壳加入第二壳</w:t>
            </w:r>
          </w:p>
        </w:tc>
      </w:tr>
      <w:tr>
        <w:tc>
          <w:tcPr>
            <w:tcW w:type="dxa" w:w="1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高级模式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按研究目的设置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自定义固定/变化/表达式</w:t>
            </w:r>
          </w:p>
        </w:tc>
        <w:tc>
          <w:tcPr>
            <w:tcW w:type="dxa" w:w="377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仅在熟悉参数相关性与约束时使用</w:t>
            </w:r>
          </w:p>
        </w:tc>
      </w:tr>
    </w:tbl>
    <w:p>
      <w:pPr>
        <w:pStyle w:val="Heading2"/>
        <w:keepNext/>
        <w:spacing w:after="140" w:before="220"/>
      </w:pPr>
      <w:r>
        <w:t xml:space="preserve">1.2 推荐起始范围</w:t>
      </w:r>
    </w:p>
    <w:tbl>
      <w:tblPr>
        <w:tblW w:type="dxa" w:w="9020"/>
        <w:tblBorders>
          <w:top w:val="single" w:color="C9D6E2" w:sz="1"/>
          <w:left w:val="single" w:color="C9D6E2" w:sz="1"/>
          <w:bottom w:val="single" w:color="C9D6E2" w:sz="1"/>
          <w:right w:val="single" w:color="C9D6E2" w:sz="1"/>
          <w:insideH w:val="single" w:color="C9D6E2" w:sz="1"/>
          <w:insideV w:val="single" w:color="C9D6E2" w:sz="1"/>
        </w:tblBorders>
      </w:tblPr>
      <w:tblGrid>
        <w:gridCol w:w="1900"/>
        <w:gridCol w:w="2450"/>
        <w:gridCol w:w="4670"/>
      </w:tblGrid>
      <w:tr>
        <w:trPr>
          <w:tblHeader/>
        </w:trPr>
        <w:tc>
          <w:tcPr>
            <w:tcW w:type="dxa" w:w="1900"/>
            <w:shd w:fill="0B49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tcW w:type="dxa" w:w="2450"/>
            <w:shd w:fill="0B49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起始建议</w:t>
            </w:r>
          </w:p>
        </w:tc>
        <w:tc>
          <w:tcPr>
            <w:tcW w:type="dxa" w:w="4670"/>
            <w:shd w:fill="0B49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k 范围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3–12 Å⁻¹</w:t>
            </w:r>
          </w:p>
        </w:tc>
        <w:tc>
          <w:tcPr>
            <w:tcW w:type="dxa" w:w="467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数据质量允许时再扩大；默认使用 k²χ(k)</w:t>
            </w:r>
          </w:p>
        </w:tc>
      </w:tr>
      <w:tr>
        <w:tc>
          <w:tcPr>
            <w:tcW w:type="dxa" w:w="190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第一壳 R 范围</w:t>
            </w:r>
          </w:p>
        </w:tc>
        <w:tc>
          <w:tcPr>
            <w:tcW w:type="dxa" w:w="245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1.5–3.2 Å</w:t>
            </w:r>
          </w:p>
        </w:tc>
        <w:tc>
          <w:tcPr>
            <w:tcW w:type="dxa" w:w="467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按未相位校正的 |χ(R)| 峰谷调整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k 窗口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Kaiser–Bessel，dk=1</w:t>
            </w:r>
          </w:p>
        </w:tc>
        <w:tc>
          <w:tcPr>
            <w:tcW w:type="dxa" w:w="467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与 Athena 变换设置保持一致</w:t>
            </w:r>
          </w:p>
        </w:tc>
      </w:tr>
      <w:tr>
        <w:tc>
          <w:tcPr>
            <w:tcW w:type="dxa" w:w="190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R 窗口</w:t>
            </w:r>
          </w:p>
        </w:tc>
        <w:tc>
          <w:tcPr>
            <w:tcW w:type="dxa" w:w="245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Hanning</w:t>
            </w:r>
          </w:p>
        </w:tc>
        <w:tc>
          <w:tcPr>
            <w:tcW w:type="dxa" w:w="467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避免窗口选择差异造成对比偏差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ΔE₀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0 eV，边界 −10～10 eV</w:t>
            </w:r>
          </w:p>
        </w:tc>
        <w:tc>
          <w:tcPr>
            <w:tcW w:type="dxa" w:w="467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拟合后通常希望 |ΔE₀|≤10 eV</w:t>
            </w:r>
          </w:p>
        </w:tc>
      </w:tr>
      <w:tr>
        <w:tc>
          <w:tcPr>
            <w:tcW w:type="dxa" w:w="190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ΔR</w:t>
            </w:r>
          </w:p>
        </w:tc>
        <w:tc>
          <w:tcPr>
            <w:tcW w:type="dxa" w:w="245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0 Å，边界约 −0.10～0.10 Å</w:t>
            </w:r>
          </w:p>
        </w:tc>
        <w:tc>
          <w:tcPr>
            <w:tcW w:type="dxa" w:w="467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超界优先检查路径/相位/能量校准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σ²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室温约 0.003–0.010 Å²</w:t>
            </w:r>
          </w:p>
        </w:tc>
        <w:tc>
          <w:tcPr>
            <w:tcW w:type="dxa" w:w="467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必须非负；高温或强无序可适当放宽</w:t>
            </w:r>
          </w:p>
        </w:tc>
      </w:tr>
    </w:tbl>
    <w:p>
      <w:r>
        <w:br w:type="page"/>
      </w:r>
    </w:p>
    <w:p>
      <w:pPr>
        <w:pStyle w:val="Heading1"/>
        <w:keepNext/>
        <w:spacing w:after="140" w:before="320"/>
      </w:pPr>
      <w:r>
        <w:t xml:space="preserve">2. 界面与拟合结果区</w:t>
      </w:r>
    </w:p>
    <w:p>
      <w:pPr>
        <w:spacing w:after="80" w:before="120"/>
        <w:jc w:val="center"/>
      </w:pPr>
      <w:r>
        <w:drawing>
          <wp:inline distT="0" distB="0" distL="0" distR="0">
            <wp:extent cx="6477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 w:line="32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77A"/>
          <w:sz w:val="18"/>
          <w:szCs w:val="18"/>
        </w:rPr>
        <w:t xml:space="preserve">图 1  Artemis 页整体布局：左侧为路径与拟合参数，右侧为拟合结果、相关性和曲线。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左侧“拟合参数智能管理器”选择样品模式和“智能分阶段拟合”。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CIF 生成 FEFF 后，路径应自动传入“FEFF Scattering Paths”；核对散射原子、Reff、简并度及 shell。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右侧首先看质量提示和分阶段表，再看 K/R 空间叠加图；不要只凭 R-factor 判断。</w:t>
      </w:r>
    </w:p>
    <w:p>
      <w:pPr>
        <w:pStyle w:val="Heading2"/>
        <w:keepNext/>
        <w:spacing w:after="140" w:before="220"/>
      </w:pPr>
      <w:r>
        <w:t xml:space="preserve">2.1 Athena 数据处理步骤</w:t>
      </w:r>
    </w:p>
    <w:tbl>
      <w:tblPr>
        <w:tblW w:type="dxa" w:w="9020"/>
        <w:tblBorders>
          <w:top w:val="single" w:color="C9D6E2" w:sz="1"/>
          <w:left w:val="single" w:color="C9D6E2" w:sz="1"/>
          <w:bottom w:val="single" w:color="C9D6E2" w:sz="1"/>
          <w:right w:val="single" w:color="C9D6E2" w:sz="1"/>
          <w:insideH w:val="single" w:color="C9D6E2" w:sz="1"/>
          <w:insideV w:val="single" w:color="C9D6E2" w:sz="1"/>
        </w:tblBorders>
      </w:tblPr>
      <w:tblGrid>
        <w:gridCol w:w="1150"/>
        <w:gridCol w:w="4150"/>
        <w:gridCol w:w="3720"/>
      </w:tblGrid>
      <w:tr>
        <w:trPr>
          <w:tblHeader/>
        </w:trPr>
        <w:tc>
          <w:tcPr>
            <w:tcW w:type="dxa" w:w="1150"/>
            <w:shd w:fill="0B49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步骤</w:t>
            </w:r>
          </w:p>
        </w:tc>
        <w:tc>
          <w:tcPr>
            <w:tcW w:type="dxa" w:w="4150"/>
            <w:shd w:fill="0B49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操作</w:t>
            </w:r>
          </w:p>
        </w:tc>
        <w:tc>
          <w:tcPr>
            <w:tcW w:type="dxa" w:w="3720"/>
            <w:shd w:fill="0B49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检查重点</w:t>
            </w:r>
          </w:p>
        </w:tc>
      </w:tr>
      <w:tr>
        <w:tc>
          <w:tcPr>
            <w:tcW w:type="dxa" w:w="11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1 导入</w:t>
            </w:r>
          </w:p>
        </w:tc>
        <w:tc>
          <w:tcPr>
            <w:tcW w:type="dxa" w:w="41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导入 μ(E) 或 I0/It/If 数据，正确指定能量与信号列</w:t>
            </w:r>
          </w:p>
        </w:tc>
        <w:tc>
          <w:tcPr>
            <w:tcW w:type="dxa" w:w="372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能量单调递增；无重复点、尖峰、饱和或断点</w:t>
            </w:r>
          </w:p>
        </w:tc>
      </w:tr>
      <w:tr>
        <w:tc>
          <w:tcPr>
            <w:tcW w:type="dxa" w:w="115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2 校准</w:t>
            </w:r>
          </w:p>
        </w:tc>
        <w:tc>
          <w:tcPr>
            <w:tcW w:type="dxa" w:w="415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以标准箔一阶导数峰或指定标准位置校准 E₀，记录位移 ΔE</w:t>
            </w:r>
          </w:p>
        </w:tc>
        <w:tc>
          <w:tcPr>
            <w:tcW w:type="dxa" w:w="372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同批样品使用同一校准规则，可将标准箔位移批量应用</w:t>
            </w:r>
          </w:p>
        </w:tc>
      </w:tr>
      <w:tr>
        <w:tc>
          <w:tcPr>
            <w:tcW w:type="dxa" w:w="11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3 去前沿</w:t>
            </w:r>
          </w:p>
        </w:tc>
        <w:tc>
          <w:tcPr>
            <w:tcW w:type="dxa" w:w="41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选择 pre-edge 区间并拟合前沿线</w:t>
            </w:r>
          </w:p>
        </w:tc>
        <w:tc>
          <w:tcPr>
            <w:tcW w:type="dxa" w:w="372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区间避开吸收边和其他结构；残差无明显弯曲</w:t>
            </w:r>
          </w:p>
        </w:tc>
      </w:tr>
      <w:tr>
        <w:tc>
          <w:tcPr>
            <w:tcW w:type="dxa" w:w="115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4 归一化</w:t>
            </w:r>
          </w:p>
        </w:tc>
        <w:tc>
          <w:tcPr>
            <w:tcW w:type="dxa" w:w="415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选择 post-edge/normalization 区间，使用 Athena 风格边后多项式</w:t>
            </w:r>
          </w:p>
        </w:tc>
        <w:tc>
          <w:tcPr>
            <w:tcW w:type="dxa" w:w="372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flattened 边后接近 1 且不持续上/下倾斜</w:t>
            </w:r>
          </w:p>
        </w:tc>
      </w:tr>
      <w:tr>
        <w:tc>
          <w:tcPr>
            <w:tcW w:type="dxa" w:w="11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5 背景扣除</w:t>
            </w:r>
          </w:p>
        </w:tc>
        <w:tc>
          <w:tcPr>
            <w:tcW w:type="dxa" w:w="41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设 E₀、Rbkg 与 k 范围，得到 χ(k)</w:t>
            </w:r>
          </w:p>
        </w:tc>
        <w:tc>
          <w:tcPr>
            <w:tcW w:type="dxa" w:w="372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低 k 不发散；高 k 截止在噪声主导前；Rbkg 与拟合 Rmin 兼容</w:t>
            </w:r>
          </w:p>
        </w:tc>
      </w:tr>
      <w:tr>
        <w:tc>
          <w:tcPr>
            <w:tcW w:type="dxa" w:w="115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6 变换</w:t>
            </w:r>
          </w:p>
        </w:tc>
        <w:tc>
          <w:tcPr>
            <w:tcW w:type="dxa" w:w="415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选择 k-weight、窗口和 dk，检查 |χ(R)|</w:t>
            </w:r>
          </w:p>
        </w:tc>
        <w:tc>
          <w:tcPr>
            <w:tcW w:type="dxa" w:w="372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默认 k²；窗口与拟合端一致；第一峰位置合理</w:t>
            </w:r>
          </w:p>
        </w:tc>
      </w:tr>
      <w:tr>
        <w:tc>
          <w:tcPr>
            <w:tcW w:type="dxa" w:w="11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7 传递</w:t>
            </w:r>
          </w:p>
        </w:tc>
        <w:tc>
          <w:tcPr>
            <w:tcW w:type="dxa" w:w="41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点击传递到 Artemis</w:t>
            </w:r>
          </w:p>
        </w:tc>
        <w:tc>
          <w:tcPr>
            <w:tcW w:type="dxa" w:w="372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样品名、E₀、能量位移、kmax 和预处理参数一起传递</w:t>
            </w:r>
          </w:p>
        </w:tc>
      </w:tr>
    </w:tbl>
    <w:p>
      <w:pPr>
        <w:spacing w:after="80" w:before="120"/>
        <w:jc w:val="center"/>
      </w:pPr>
      <w:r>
        <w:drawing>
          <wp:inline distT="0" distB="0" distL="0" distR="0">
            <wp:extent cx="6477000" cy="3724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 w:line="32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77A"/>
          <w:sz w:val="18"/>
          <w:szCs w:val="18"/>
        </w:rPr>
        <w:t xml:space="preserve">图 1A  Athena μ(E) 与归一化检查图：原始 μ(E)、flattened、pre-edge、post-edge 应同时可见。FEFF 不用于拟合完整 XANES 白线。</w:t>
      </w:r>
    </w:p>
    <w:p>
      <w:pPr>
        <w:pStyle w:val="Heading2"/>
        <w:keepNext/>
        <w:spacing w:after="140" w:before="220"/>
      </w:pPr>
      <w:r>
        <w:t xml:space="preserve">2.2 数据处理参数如何选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B4964"/>
          <w:sz w:val="21"/>
          <w:szCs w:val="21"/>
        </w:rPr>
        <w:t xml:space="preserve">E₀：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通常取吸收边一阶导数峰或按课题统一定义；先用标准箔校准能量，再处理样品。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B4964"/>
          <w:sz w:val="21"/>
          <w:szCs w:val="21"/>
        </w:rPr>
        <w:t xml:space="preserve">Pre-edge：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选择边前平滑且无其他结构的区间；太靠近吸收边会扭曲 edge step。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B4964"/>
          <w:sz w:val="21"/>
          <w:szCs w:val="21"/>
        </w:rPr>
        <w:t xml:space="preserve">Normalization：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选择足够长且避开异常点的边后区间。边后向下倾斜时，应调整区间或多项式阶数，不能在拟合端用路径补偿。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B4964"/>
          <w:sz w:val="21"/>
          <w:szCs w:val="21"/>
        </w:rPr>
        <w:t xml:space="preserve">Rbkg：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常从约 1 Å开始检查；拟合 Rmin 必须与背景扣除的 rbkg 兼容。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B4964"/>
          <w:sz w:val="21"/>
          <w:szCs w:val="21"/>
        </w:rPr>
        <w:t xml:space="preserve">kmax：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选到有效振荡尚高于噪声的位置，不要为了增加独立点把纯噪声纳入拟合。</w:t>
      </w:r>
    </w:p>
    <w:tbl>
      <w:tblPr>
        <w:tblW w:type="dxa" w:w="9020"/>
        <w:tblBorders>
          <w:top w:val="single" w:color="C9D6E2" w:sz="1"/>
          <w:left w:val="single" w:color="F39C12" w:sz="8"/>
          <w:bottom w:val="single" w:color="C9D6E2" w:sz="1"/>
          <w:right w:val="single" w:color="C9D6E2" w:sz="1"/>
          <w:insideH w:val="single" w:color="C9D6E2" w:sz="1"/>
          <w:insideV w:val="single" w:color="C9D6E2" w:sz="1"/>
        </w:tblBorders>
      </w:tblPr>
      <w:tblGrid>
        <w:gridCol w:w="9020"/>
      </w:tblGrid>
      <w:tr>
        <w:tc>
          <w:tcPr>
            <w:tcW w:type="dxa" w:w="9020"/>
            <w:shd w:fill="FFF5D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39C12"/>
                <w:sz w:val="22"/>
                <w:szCs w:val="22"/>
              </w:rPr>
              <w:t xml:space="preserve">关键</w:t>
            </w:r>
          </w:p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若 Athena 的 rbkg 大于拟合 Rmin，IFEFFIT 会提示 background removal 的 Rmin 不合法。应回到 Athena 降低 rbkg，或把拟合 Rmin 调到高于 rbkg；不能仅重复点击拟合。</w:t>
            </w:r>
          </w:p>
        </w:tc>
      </w:tr>
    </w:tbl>
    <w:p>
      <w:r>
        <w:br w:type="page"/>
      </w:r>
    </w:p>
    <w:p>
      <w:pPr>
        <w:pStyle w:val="Heading1"/>
        <w:keepNext/>
        <w:spacing w:after="140" w:before="320"/>
      </w:pPr>
      <w:r>
        <w:t xml:space="preserve">3. FEFF 路径分壳与参数含义</w:t>
      </w:r>
    </w:p>
    <w:p>
      <w:pPr>
        <w:pStyle w:val="Heading2"/>
        <w:keepNext/>
        <w:spacing w:after="140" w:before="220"/>
      </w:pPr>
      <w:r>
        <w:t xml:space="preserve">3.1 先检查路径，再开始拟合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第一壳通常选最短的主要单散射路径，例如 Ir–O；第二壳选下一组物理明确的散射路径，例如 Ir–Ir。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同一配位壳的等价路径可以共用 CN、ΔR 或 σ²表达式；不等价路径不要仅因距离接近而强行绑定。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路径表中的 shell 必须设为 1 或 2。逐壳按钮依赖 shell 字段决定哪些路径参与拟合。</w:t>
      </w:r>
    </w:p>
    <w:tbl>
      <w:tblPr>
        <w:tblW w:type="dxa" w:w="9020"/>
        <w:tblBorders>
          <w:top w:val="single" w:color="C9D6E2" w:sz="1"/>
          <w:left w:val="single" w:color="C9D6E2" w:sz="1"/>
          <w:bottom w:val="single" w:color="C9D6E2" w:sz="1"/>
          <w:right w:val="single" w:color="C9D6E2" w:sz="1"/>
          <w:insideH w:val="single" w:color="C9D6E2" w:sz="1"/>
          <w:insideV w:val="single" w:color="C9D6E2" w:sz="1"/>
        </w:tblBorders>
      </w:tblPr>
      <w:tblGrid>
        <w:gridCol w:w="1150"/>
        <w:gridCol w:w="2400"/>
        <w:gridCol w:w="2700"/>
        <w:gridCol w:w="2770"/>
      </w:tblGrid>
      <w:tr>
        <w:trPr>
          <w:tblHeader/>
        </w:trPr>
        <w:tc>
          <w:tcPr>
            <w:tcW w:type="dxa" w:w="1150"/>
            <w:shd w:fill="0B49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参数</w:t>
            </w:r>
          </w:p>
        </w:tc>
        <w:tc>
          <w:tcPr>
            <w:tcW w:type="dxa" w:w="2400"/>
            <w:shd w:fill="0B49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物理意义</w:t>
            </w:r>
          </w:p>
        </w:tc>
        <w:tc>
          <w:tcPr>
            <w:tcW w:type="dxa" w:w="2700"/>
            <w:shd w:fill="0B49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第一壳建议</w:t>
            </w:r>
          </w:p>
        </w:tc>
        <w:tc>
          <w:tcPr>
            <w:tcW w:type="dxa" w:w="2770"/>
            <w:shd w:fill="0B49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第二壳建议</w:t>
            </w:r>
          </w:p>
        </w:tc>
      </w:tr>
      <w:tr>
        <w:tc>
          <w:tcPr>
            <w:tcW w:type="dxa" w:w="11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N / CN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配位数，主要控制振幅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标准样固定；未知样可变</w:t>
            </w:r>
          </w:p>
        </w:tc>
        <w:tc>
          <w:tcPr>
            <w:tcW w:type="dxa" w:w="277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先按结构固定或约束，稳定后再评估是否释放</w:t>
            </w:r>
          </w:p>
        </w:tc>
      </w:tr>
      <w:tr>
        <w:tc>
          <w:tcPr>
            <w:tcW w:type="dxa" w:w="115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S₀²</w:t>
            </w:r>
          </w:p>
        </w:tc>
        <w:tc>
          <w:tcPr>
            <w:tcW w:type="dxa" w:w="240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振幅缩减因子，全局参数</w:t>
            </w:r>
          </w:p>
        </w:tc>
        <w:tc>
          <w:tcPr>
            <w:tcW w:type="dxa" w:w="270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标准样最后标定</w:t>
            </w:r>
          </w:p>
        </w:tc>
        <w:tc>
          <w:tcPr>
            <w:tcW w:type="dxa" w:w="277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沿用并固定，不应每壳一个值</w:t>
            </w:r>
          </w:p>
        </w:tc>
      </w:tr>
      <w:tr>
        <w:tc>
          <w:tcPr>
            <w:tcW w:type="dxa" w:w="11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ΔE₀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能量零点修正，影响相位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全局变化</w:t>
            </w:r>
          </w:p>
        </w:tc>
        <w:tc>
          <w:tcPr>
            <w:tcW w:type="dxa" w:w="277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继承同一全局值，避免每路径独立</w:t>
            </w:r>
          </w:p>
        </w:tc>
      </w:tr>
      <w:tr>
        <w:tc>
          <w:tcPr>
            <w:tcW w:type="dxa" w:w="115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ΔR</w:t>
            </w:r>
          </w:p>
        </w:tc>
        <w:tc>
          <w:tcPr>
            <w:tcW w:type="dxa" w:w="240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相对 FEFF Reff 的距离修正</w:t>
            </w:r>
          </w:p>
        </w:tc>
        <w:tc>
          <w:tcPr>
            <w:tcW w:type="dxa" w:w="270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允许变化</w:t>
            </w:r>
          </w:p>
        </w:tc>
        <w:tc>
          <w:tcPr>
            <w:tcW w:type="dxa" w:w="277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允许变化，必要时同壳共享</w:t>
            </w:r>
          </w:p>
        </w:tc>
      </w:tr>
      <w:tr>
        <w:tc>
          <w:tcPr>
            <w:tcW w:type="dxa" w:w="11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σ²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Debye–Waller 因子，表征热/静态无序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第二阶段释放</w:t>
            </w:r>
          </w:p>
        </w:tc>
        <w:tc>
          <w:tcPr>
            <w:tcW w:type="dxa" w:w="277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加入第二壳时可先固定初值，再释放</w:t>
            </w:r>
          </w:p>
        </w:tc>
      </w:tr>
    </w:tbl>
    <w:p>
      <w:pPr>
        <w:pStyle w:val="Heading2"/>
        <w:keepNext/>
        <w:spacing w:after="140" w:before="220"/>
      </w:pPr>
      <w:r>
        <w:t xml:space="preserve">3.2 参数独立点上限</w:t>
      </w:r>
    </w:p>
    <w:p>
      <w:pPr>
        <w:spacing w:after="12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独立点数近似为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B4964"/>
          <w:sz w:val="21"/>
          <w:szCs w:val="21"/>
        </w:rPr>
        <w:t xml:space="preserve">Nind ≈ 2ΔkΔR/π + 2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。可变化参数数目必须小于 Nind，并留有余量。第二壳加入后路径多，不代表所有 CN、ΔR、σ²都应同时独立变化。</w:t>
      </w:r>
    </w:p>
    <w:tbl>
      <w:tblPr>
        <w:tblW w:type="dxa" w:w="9020"/>
        <w:tblBorders>
          <w:top w:val="single" w:color="C9D6E2" w:sz="1"/>
          <w:left w:val="single" w:color="D32F2F" w:sz="8"/>
          <w:bottom w:val="single" w:color="C9D6E2" w:sz="1"/>
          <w:right w:val="single" w:color="C9D6E2" w:sz="1"/>
          <w:insideH w:val="single" w:color="C9D6E2" w:sz="1"/>
          <w:insideV w:val="single" w:color="C9D6E2" w:sz="1"/>
        </w:tblBorders>
      </w:tblPr>
      <w:tblGrid>
        <w:gridCol w:w="9020"/>
      </w:tblGrid>
      <w:tr>
        <w:tc>
          <w:tcPr>
            <w:tcW w:type="dxa" w:w="9020"/>
            <w:shd w:fill="FFF0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D32F2F"/>
                <w:sz w:val="22"/>
                <w:szCs w:val="22"/>
              </w:rPr>
              <w:t xml:space="preserve">最常见过拟合</w:t>
            </w:r>
          </w:p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同时释放 S₀²、多个 CN、每条路径的 σ²和 ΔR，会出现高相关、巨大误差或参数贴边。优先使用结构约束、共享参数和逐步释放。</w:t>
            </w:r>
          </w:p>
        </w:tc>
      </w:tr>
    </w:tbl>
    <w:p>
      <w:r>
        <w:br w:type="page"/>
      </w:r>
    </w:p>
    <w:p>
      <w:pPr>
        <w:pStyle w:val="Heading1"/>
        <w:keepNext/>
        <w:spacing w:after="140" w:before="320"/>
      </w:pPr>
      <w:r>
        <w:t xml:space="preserve">4. 第一配位层拟合（必须先完成）</w:t>
      </w:r>
    </w:p>
    <w:p>
      <w:pPr>
        <w:pStyle w:val="Heading2"/>
        <w:keepNext/>
        <w:spacing w:after="140" w:before="220"/>
      </w:pPr>
      <w:r>
        <w:t xml:space="preserve">4.1 操作步骤</w:t>
      </w:r>
    </w:p>
    <w:tbl>
      <w:tblPr>
        <w:tblW w:type="dxa" w:w="9020"/>
        <w:tblBorders>
          <w:top w:val="single" w:color="C9D6E2" w:sz="1"/>
          <w:left w:val="single" w:color="C9D6E2" w:sz="1"/>
          <w:bottom w:val="single" w:color="C9D6E2" w:sz="1"/>
          <w:right w:val="single" w:color="C9D6E2" w:sz="1"/>
          <w:insideH w:val="single" w:color="C9D6E2" w:sz="1"/>
          <w:insideV w:val="single" w:color="C9D6E2" w:sz="1"/>
        </w:tblBorders>
      </w:tblPr>
      <w:tblGrid>
        <w:gridCol w:w="720"/>
        <w:gridCol w:w="2800"/>
        <w:gridCol w:w="2650"/>
        <w:gridCol w:w="2850"/>
      </w:tblGrid>
      <w:tr>
        <w:trPr>
          <w:tblHeader/>
        </w:trPr>
        <w:tc>
          <w:tcPr>
            <w:tcW w:type="dxa" w:w="720"/>
            <w:shd w:fill="0B49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步骤</w:t>
            </w:r>
          </w:p>
        </w:tc>
        <w:tc>
          <w:tcPr>
            <w:tcW w:type="dxa" w:w="2800"/>
            <w:shd w:fill="0B49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界面操作</w:t>
            </w:r>
          </w:p>
        </w:tc>
        <w:tc>
          <w:tcPr>
            <w:tcW w:type="dxa" w:w="2650"/>
            <w:shd w:fill="0B49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应变化的参数</w:t>
            </w:r>
          </w:p>
        </w:tc>
        <w:tc>
          <w:tcPr>
            <w:tcW w:type="dxa" w:w="2850"/>
            <w:shd w:fill="0B49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接受条件</w:t>
            </w:r>
          </w:p>
        </w:tc>
      </w:tr>
      <w:tr>
        <w:tc>
          <w:tcPr>
            <w:tcW w:type="dxa" w:w="72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1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仅勾选 shell=1 路径，点击“① 仅拟合第一壳”</w:t>
            </w:r>
          </w:p>
        </w:tc>
        <w:tc>
          <w:tcPr>
            <w:tcW w:type="dxa" w:w="26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ΔE₀、第一壳 ΔR；CN、σ²、S₀²先固定</w:t>
            </w:r>
          </w:p>
        </w:tc>
        <w:tc>
          <w:tcPr>
            <w:tcW w:type="dxa" w:w="28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曲线相位/峰位基本一致，参数不贴边</w:t>
            </w:r>
          </w:p>
        </w:tc>
      </w:tr>
      <w:tr>
        <w:tc>
          <w:tcPr>
            <w:tcW w:type="dxa" w:w="72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2</w:t>
            </w:r>
          </w:p>
        </w:tc>
        <w:tc>
          <w:tcPr>
            <w:tcW w:type="dxa" w:w="280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继续智能阶段或再次拟合</w:t>
            </w:r>
          </w:p>
        </w:tc>
        <w:tc>
          <w:tcPr>
            <w:tcW w:type="dxa" w:w="265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释放第一壳 σ²</w:t>
            </w:r>
          </w:p>
        </w:tc>
        <w:tc>
          <w:tcPr>
            <w:tcW w:type="dxa" w:w="285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振幅改善，σ²为正且合理</w:t>
            </w:r>
          </w:p>
        </w:tc>
      </w:tr>
      <w:tr>
        <w:tc>
          <w:tcPr>
            <w:tcW w:type="dxa" w:w="72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3A 标准样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最终振幅阶段</w:t>
            </w:r>
          </w:p>
        </w:tc>
        <w:tc>
          <w:tcPr>
            <w:tcW w:type="dxa" w:w="26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固定已知 CN，释放 S₀²</w:t>
            </w:r>
          </w:p>
        </w:tc>
        <w:tc>
          <w:tcPr>
            <w:tcW w:type="dxa" w:w="28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S₀²建议 0.6–1.1，保存标定值</w:t>
            </w:r>
          </w:p>
        </w:tc>
      </w:tr>
      <w:tr>
        <w:tc>
          <w:tcPr>
            <w:tcW w:type="dxa" w:w="72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3B 未知样</w:t>
            </w:r>
          </w:p>
        </w:tc>
        <w:tc>
          <w:tcPr>
            <w:tcW w:type="dxa" w:w="280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使用已保存标定值</w:t>
            </w:r>
          </w:p>
        </w:tc>
        <w:tc>
          <w:tcPr>
            <w:tcW w:type="dxa" w:w="265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固定 S₀²，按模型释放 CN</w:t>
            </w:r>
          </w:p>
        </w:tc>
        <w:tc>
          <w:tcPr>
            <w:tcW w:type="dxa" w:w="285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CN 误差合理且与结构/化学一致</w:t>
            </w:r>
          </w:p>
        </w:tc>
      </w:tr>
    </w:tbl>
    <w:p>
      <w:pPr>
        <w:pStyle w:val="Heading2"/>
        <w:keepNext/>
        <w:spacing w:after="140" w:before="220"/>
      </w:pPr>
      <w:r>
        <w:t xml:space="preserve">4.2 第一壳结果必须“回填”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采用阶段显示为 accepted，而不是只看最后一次尝试。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点击“把最终采用阶段参数回填到左侧”（程序也会在逐壳流程中自动回填）。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记录 S₀²、ΔE₀、第一壳 CN、R、σ²及标准误差；保存第一壳结果包。</w:t>
      </w:r>
    </w:p>
    <w:p>
      <w:pPr>
        <w:spacing w:after="80" w:before="120"/>
        <w:jc w:val="center"/>
      </w:pPr>
      <w:r>
        <w:drawing>
          <wp:inline distT="0" distB="0" distL="0" distR="0">
            <wp:extent cx="647700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 w:line="32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77A"/>
          <w:sz w:val="18"/>
          <w:szCs w:val="18"/>
        </w:rPr>
        <w:t xml:space="preserve">图 2  分阶段结果示例：先看各阶段 accepted/reason，再核对右侧最终参数与左侧回填值一致。</w:t>
      </w:r>
    </w:p>
    <w:p>
      <w:r>
        <w:br w:type="page"/>
      </w:r>
    </w:p>
    <w:p>
      <w:pPr>
        <w:pStyle w:val="Heading1"/>
        <w:keepNext/>
        <w:spacing w:after="140" w:before="320"/>
      </w:pPr>
      <w:r>
        <w:t xml:space="preserve">5. 从第一壳扩展到第二壳（重点）</w:t>
      </w:r>
    </w:p>
    <w:tbl>
      <w:tblPr>
        <w:tblW w:type="dxa" w:w="9020"/>
        <w:tblBorders>
          <w:top w:val="single" w:color="C9D6E2" w:sz="1"/>
          <w:left w:val="single" w:color="F39C12" w:sz="8"/>
          <w:bottom w:val="single" w:color="C9D6E2" w:sz="1"/>
          <w:right w:val="single" w:color="C9D6E2" w:sz="1"/>
          <w:insideH w:val="single" w:color="C9D6E2" w:sz="1"/>
          <w:insideV w:val="single" w:color="C9D6E2" w:sz="1"/>
        </w:tblBorders>
      </w:tblPr>
      <w:tblGrid>
        <w:gridCol w:w="9020"/>
      </w:tblGrid>
      <w:tr>
        <w:tc>
          <w:tcPr>
            <w:tcW w:type="dxa" w:w="9020"/>
            <w:shd w:fill="FFF5D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39C12"/>
                <w:sz w:val="22"/>
                <w:szCs w:val="22"/>
              </w:rPr>
              <w:t xml:space="preserve">前提</w:t>
            </w:r>
          </w:p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只有第一壳已经接受、参数已回填、第一壳 K/R 空间残差无系统性结构时，才加入第二壳。第一壳本身不稳时加入第二壳，通常只会把误差转移给高壳参数。</w:t>
            </w:r>
          </w:p>
        </w:tc>
      </w:tr>
    </w:tbl>
    <w:p>
      <w:pPr>
        <w:pStyle w:val="Heading2"/>
        <w:keepNext/>
        <w:spacing w:after="140" w:before="220"/>
      </w:pPr>
      <w:r>
        <w:t xml:space="preserve">5.1 界面操作顺序</w:t>
      </w:r>
    </w:p>
    <w:tbl>
      <w:tblPr>
        <w:tblW w:type="dxa" w:w="9020"/>
        <w:tblBorders>
          <w:top w:val="single" w:color="C9D6E2" w:sz="1"/>
          <w:left w:val="single" w:color="C9D6E2" w:sz="1"/>
          <w:bottom w:val="single" w:color="C9D6E2" w:sz="1"/>
          <w:right w:val="single" w:color="C9D6E2" w:sz="1"/>
          <w:insideH w:val="single" w:color="C9D6E2" w:sz="1"/>
          <w:insideV w:val="single" w:color="C9D6E2" w:sz="1"/>
        </w:tblBorders>
      </w:tblPr>
      <w:tblGrid>
        <w:gridCol w:w="650"/>
        <w:gridCol w:w="5150"/>
        <w:gridCol w:w="3220"/>
      </w:tblGrid>
      <w:tr>
        <w:trPr>
          <w:tblHeader/>
        </w:trPr>
        <w:tc>
          <w:tcPr>
            <w:tcW w:type="dxa" w:w="650"/>
            <w:shd w:fill="0B49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顺序</w:t>
            </w:r>
          </w:p>
        </w:tc>
        <w:tc>
          <w:tcPr>
            <w:tcW w:type="dxa" w:w="5150"/>
            <w:shd w:fill="0B49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具体操作</w:t>
            </w:r>
          </w:p>
        </w:tc>
        <w:tc>
          <w:tcPr>
            <w:tcW w:type="dxa" w:w="3220"/>
            <w:shd w:fill="0B49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目的</w:t>
            </w:r>
          </w:p>
        </w:tc>
      </w:tr>
      <w:tr>
        <w:tc>
          <w:tcPr>
            <w:tcW w:type="dxa" w:w="6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A</w:t>
            </w:r>
          </w:p>
        </w:tc>
        <w:tc>
          <w:tcPr>
            <w:tcW w:type="dxa" w:w="51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在 FEFF 路径表选中物理上属于第二壳的路径，将 shell 设为 2</w:t>
            </w:r>
          </w:p>
        </w:tc>
        <w:tc>
          <w:tcPr>
            <w:tcW w:type="dxa" w:w="322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明确路径归属，避免把远距离路径误当第一壳</w:t>
            </w:r>
          </w:p>
        </w:tc>
      </w:tr>
      <w:tr>
        <w:tc>
          <w:tcPr>
            <w:tcW w:type="dxa" w:w="65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B</w:t>
            </w:r>
          </w:p>
        </w:tc>
        <w:tc>
          <w:tcPr>
            <w:tcW w:type="dxa" w:w="515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确认第一壳回填值仍在左侧；S₀²使用标准样标定值并固定</w:t>
            </w:r>
          </w:p>
        </w:tc>
        <w:tc>
          <w:tcPr>
            <w:tcW w:type="dxa" w:w="322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把第一壳作为稳定基线</w:t>
            </w:r>
          </w:p>
        </w:tc>
      </w:tr>
      <w:tr>
        <w:tc>
          <w:tcPr>
            <w:tcW w:type="dxa" w:w="6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C</w:t>
            </w:r>
          </w:p>
        </w:tc>
        <w:tc>
          <w:tcPr>
            <w:tcW w:type="dxa" w:w="51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“第二壳拟合空间”选择 R space 或 k space</w:t>
            </w:r>
          </w:p>
        </w:tc>
        <w:tc>
          <w:tcPr>
            <w:tcW w:type="dxa" w:w="322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只选择一个拟合空间；另一个空间作为交叉验证图</w:t>
            </w:r>
          </w:p>
        </w:tc>
      </w:tr>
      <w:tr>
        <w:tc>
          <w:tcPr>
            <w:tcW w:type="dxa" w:w="65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D</w:t>
            </w:r>
          </w:p>
        </w:tc>
        <w:tc>
          <w:tcPr>
            <w:tcW w:type="dxa" w:w="515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点击“② 回填后加入第二壳拟合”</w:t>
            </w:r>
          </w:p>
        </w:tc>
        <w:tc>
          <w:tcPr>
            <w:tcW w:type="dxa" w:w="322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程序沿用第一壳参数并累计加入 shell=2 路径</w:t>
            </w:r>
          </w:p>
        </w:tc>
      </w:tr>
      <w:tr>
        <w:tc>
          <w:tcPr>
            <w:tcW w:type="dxa" w:w="6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E</w:t>
            </w:r>
          </w:p>
        </w:tc>
        <w:tc>
          <w:tcPr>
            <w:tcW w:type="dxa" w:w="51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首轮先固定第二壳 CN，释放第二壳 ΔR；再释放第二壳 σ²</w:t>
            </w:r>
          </w:p>
        </w:tc>
        <w:tc>
          <w:tcPr>
            <w:tcW w:type="dxa" w:w="322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减少新路径振幅、距离、无序的强相关</w:t>
            </w:r>
          </w:p>
        </w:tc>
      </w:tr>
      <w:tr>
        <w:tc>
          <w:tcPr>
            <w:tcW w:type="dxa" w:w="65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F</w:t>
            </w:r>
          </w:p>
        </w:tc>
        <w:tc>
          <w:tcPr>
            <w:tcW w:type="dxa" w:w="515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比较加入前后 R-factor、AIC、相关性、残差与参数误差</w:t>
            </w:r>
          </w:p>
        </w:tc>
        <w:tc>
          <w:tcPr>
            <w:tcW w:type="dxa" w:w="322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决定第二壳是否有统计和物理支持</w:t>
            </w:r>
          </w:p>
        </w:tc>
      </w:tr>
    </w:tbl>
    <w:p>
      <w:pPr>
        <w:pStyle w:val="Heading2"/>
        <w:keepNext/>
        <w:spacing w:after="140" w:before="220"/>
      </w:pPr>
      <w:r>
        <w:t xml:space="preserve">5.2 R 空间或 K 空间只限定一个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B4964"/>
          <w:sz w:val="21"/>
          <w:szCs w:val="21"/>
        </w:rPr>
        <w:t xml:space="preserve">R-space 拟合：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设置 Rmin/Rmax；k 范围自动继承 Athena 的有效范围。适合分离第一、第二壳贡献。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B4964"/>
          <w:sz w:val="21"/>
          <w:szCs w:val="21"/>
        </w:rPr>
        <w:t xml:space="preserve">K-space 拟合：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设置 kmin/kmax；R 范围不参与目标函数。适合直接观察不同 k 区振荡和噪声。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无论在哪个空间拟合，都同时查看 K 空间与 R 空间叠加结果；二者都合理才接受。</w:t>
      </w:r>
    </w:p>
    <w:p>
      <w:pPr>
        <w:spacing w:after="80" w:before="120"/>
        <w:jc w:val="center"/>
      </w:pPr>
      <w:r>
        <w:drawing>
          <wp:inline distT="0" distB="0" distL="0" distR="0">
            <wp:extent cx="302895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 w:line="32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77A"/>
          <w:sz w:val="18"/>
          <w:szCs w:val="18"/>
        </w:rPr>
        <w:t xml:space="preserve">图 3  拟合与变换范围区域。界面提示会明确当前只使用 R-space 或 K-space 的哪一组范围。</w:t>
      </w:r>
    </w:p>
    <w:p>
      <w:r>
        <w:br w:type="page"/>
      </w:r>
    </w:p>
    <w:p>
      <w:pPr>
        <w:pStyle w:val="Heading2"/>
        <w:keepNext/>
        <w:spacing w:after="140" w:before="220"/>
      </w:pPr>
      <w:r>
        <w:t xml:space="preserve">5.3 第二壳的推荐释放顺序</w:t>
      </w:r>
    </w:p>
    <w:tbl>
      <w:tblPr>
        <w:tblW w:type="dxa" w:w="9020"/>
        <w:tblBorders>
          <w:top w:val="single" w:color="C9D6E2" w:sz="1"/>
          <w:left w:val="single" w:color="C9D6E2" w:sz="1"/>
          <w:bottom w:val="single" w:color="C9D6E2" w:sz="1"/>
          <w:right w:val="single" w:color="C9D6E2" w:sz="1"/>
          <w:insideH w:val="single" w:color="C9D6E2" w:sz="1"/>
          <w:insideV w:val="single" w:color="C9D6E2" w:sz="1"/>
        </w:tblBorders>
      </w:tblPr>
      <w:tblGrid>
        <w:gridCol w:w="1800"/>
        <w:gridCol w:w="2450"/>
        <w:gridCol w:w="2750"/>
        <w:gridCol w:w="2020"/>
      </w:tblGrid>
      <w:tr>
        <w:trPr>
          <w:tblHeader/>
        </w:trPr>
        <w:tc>
          <w:tcPr>
            <w:tcW w:type="dxa" w:w="1800"/>
            <w:shd w:fill="0B49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阶段</w:t>
            </w:r>
          </w:p>
        </w:tc>
        <w:tc>
          <w:tcPr>
            <w:tcW w:type="dxa" w:w="2450"/>
            <w:shd w:fill="0B49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第一壳</w:t>
            </w:r>
          </w:p>
        </w:tc>
        <w:tc>
          <w:tcPr>
            <w:tcW w:type="dxa" w:w="2750"/>
            <w:shd w:fill="0B49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第二壳</w:t>
            </w:r>
          </w:p>
        </w:tc>
        <w:tc>
          <w:tcPr>
            <w:tcW w:type="dxa" w:w="2020"/>
            <w:shd w:fill="0B49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全局参数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2-1 距离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保持已回填值；必要时 ΔR 微调</w:t>
            </w:r>
          </w:p>
        </w:tc>
        <w:tc>
          <w:tcPr>
            <w:tcW w:type="dxa" w:w="27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CN 固定，σ²固定，ΔR 变化</w:t>
            </w:r>
          </w:p>
        </w:tc>
        <w:tc>
          <w:tcPr>
            <w:tcW w:type="dxa" w:w="202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S₀²固定；ΔE₀沿用或全局微调</w:t>
            </w:r>
          </w:p>
        </w:tc>
      </w:tr>
      <w:tr>
        <w:tc>
          <w:tcPr>
            <w:tcW w:type="dxa" w:w="180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2-2 无序</w:t>
            </w:r>
          </w:p>
        </w:tc>
        <w:tc>
          <w:tcPr>
            <w:tcW w:type="dxa" w:w="245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参数保持稳定</w:t>
            </w:r>
          </w:p>
        </w:tc>
        <w:tc>
          <w:tcPr>
            <w:tcW w:type="dxa" w:w="275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CN 固定，ΔR与σ²变化</w:t>
            </w:r>
          </w:p>
        </w:tc>
        <w:tc>
          <w:tcPr>
            <w:tcW w:type="dxa" w:w="202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S₀²固定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2-3 配位数（可选）</w:t>
            </w:r>
          </w:p>
        </w:tc>
        <w:tc>
          <w:tcPr>
            <w:tcW w:type="dxa" w:w="24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避免同时释放第一壳 CN</w:t>
            </w:r>
          </w:p>
        </w:tc>
        <w:tc>
          <w:tcPr>
            <w:tcW w:type="dxa" w:w="27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数据和 Nind 充足时才释放 CN</w:t>
            </w:r>
          </w:p>
        </w:tc>
        <w:tc>
          <w:tcPr>
            <w:tcW w:type="dxa" w:w="202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S₀²固定</w:t>
            </w:r>
          </w:p>
        </w:tc>
      </w:tr>
      <w:tr>
        <w:tc>
          <w:tcPr>
            <w:tcW w:type="dxa" w:w="180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2-4 复核</w:t>
            </w:r>
          </w:p>
        </w:tc>
        <w:tc>
          <w:tcPr>
            <w:tcW w:type="dxa" w:w="245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与第一壳单独拟合结果比较</w:t>
            </w:r>
          </w:p>
        </w:tc>
        <w:tc>
          <w:tcPr>
            <w:tcW w:type="dxa" w:w="275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确认误差、相关性和结构合理</w:t>
            </w:r>
          </w:p>
        </w:tc>
        <w:tc>
          <w:tcPr>
            <w:tcW w:type="dxa" w:w="202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不因 R-factor 小幅下降而无条件接受</w:t>
            </w:r>
          </w:p>
        </w:tc>
      </w:tr>
    </w:tbl>
    <w:p>
      <w:pPr>
        <w:pStyle w:val="Heading2"/>
        <w:keepNext/>
        <w:spacing w:after="140" w:before="220"/>
      </w:pPr>
      <w:r>
        <w:t xml:space="preserve">5.4 接受第二壳的最低标准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Nind &gt; Nvariables，且最好保留明显余量。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增加第二壳后 AIC 至少改善约 2，或 R-factor 相对改善约 2%；同时残差结构应明显减少。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最大绝对相关系数不应接近 1：|ρ|&lt;0.95 较稳妥；≥0.98 通常拒绝或增加约束。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ΔR、σ²、CN及其误差必须物理合理；参数贴边说明当前模型或范围未能独立确定它。</w:t>
      </w:r>
    </w:p>
    <w:tbl>
      <w:tblPr>
        <w:tblW w:type="dxa" w:w="9020"/>
        <w:tblBorders>
          <w:top w:val="single" w:color="C9D6E2" w:sz="1"/>
          <w:left w:val="single" w:color="14945E" w:sz="8"/>
          <w:bottom w:val="single" w:color="C9D6E2" w:sz="1"/>
          <w:right w:val="single" w:color="C9D6E2" w:sz="1"/>
          <w:insideH w:val="single" w:color="C9D6E2" w:sz="1"/>
          <w:insideV w:val="single" w:color="C9D6E2" w:sz="1"/>
        </w:tblBorders>
      </w:tblPr>
      <w:tblGrid>
        <w:gridCol w:w="9020"/>
      </w:tblGrid>
      <w:tr>
        <w:tc>
          <w:tcPr>
            <w:tcW w:type="dxa" w:w="9020"/>
            <w:shd w:fill="EAF8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4945E"/>
                <w:sz w:val="22"/>
                <w:szCs w:val="22"/>
              </w:rPr>
              <w:t xml:space="preserve">是否接受第二壳</w:t>
            </w:r>
          </w:p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统计改善 + K/R 双空间曲线改善 + 参数物理合理，三者缺一不可。若第二壳只降低 R-factor，却导致巨大误差或相关性接近 1，应撤回第二壳或加强约束。</w:t>
            </w:r>
          </w:p>
        </w:tc>
      </w:tr>
    </w:tbl>
    <w:p>
      <w:r>
        <w:br w:type="page"/>
      </w:r>
    </w:p>
    <w:p>
      <w:pPr>
        <w:pStyle w:val="Heading1"/>
        <w:keepNext/>
        <w:spacing w:after="140" w:before="320"/>
      </w:pPr>
      <w:r>
        <w:t xml:space="preserve">6. 如何阅读拟合结果与警告</w:t>
      </w:r>
    </w:p>
    <w:p>
      <w:pPr>
        <w:pStyle w:val="Heading2"/>
        <w:keepNext/>
        <w:spacing w:after="140" w:before="220"/>
      </w:pPr>
      <w:r>
        <w:t xml:space="preserve">6.1 质量提示不是“程序失败”</w:t>
      </w:r>
    </w:p>
    <w:p>
      <w:pPr>
        <w:spacing w:after="80" w:before="120"/>
        <w:jc w:val="center"/>
      </w:pPr>
      <w:r>
        <w:drawing>
          <wp:inline distT="0" distB="0" distL="0" distR="0">
            <wp:extent cx="4191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 w:line="32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77A"/>
          <w:sz w:val="18"/>
          <w:szCs w:val="18"/>
        </w:rPr>
        <w:t xml:space="preserve">图 4  标准样 S₀²低于建议审查范围的示例。拟合已完成，但结果需要复核。</w:t>
      </w:r>
    </w:p>
    <w:p>
      <w:pPr>
        <w:spacing w:after="12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示例中的 S₀²=0.556 低于程序建议的 0.6–1.1。常见原因包括：标准样 CN/路径简并度不正确、只选择了部分等价路径、归一化或自吸收问题、k/R 范围不合适、振幅参数高度相关。不要直接把 0.556 保存为通用标定值。</w:t>
      </w:r>
    </w:p>
    <w:p>
      <w:pPr>
        <w:pStyle w:val="Heading2"/>
        <w:keepNext/>
        <w:spacing w:after="140" w:before="220"/>
      </w:pPr>
      <w:r>
        <w:t xml:space="preserve">6.2 常见提示与处理</w:t>
      </w:r>
    </w:p>
    <w:tbl>
      <w:tblPr>
        <w:tblW w:type="dxa" w:w="9020"/>
        <w:tblBorders>
          <w:top w:val="single" w:color="C9D6E2" w:sz="1"/>
          <w:left w:val="single" w:color="C9D6E2" w:sz="1"/>
          <w:bottom w:val="single" w:color="C9D6E2" w:sz="1"/>
          <w:right w:val="single" w:color="C9D6E2" w:sz="1"/>
          <w:insideH w:val="single" w:color="C9D6E2" w:sz="1"/>
          <w:insideV w:val="single" w:color="C9D6E2" w:sz="1"/>
        </w:tblBorders>
      </w:tblPr>
      <w:tblGrid>
        <w:gridCol w:w="2200"/>
        <w:gridCol w:w="3050"/>
        <w:gridCol w:w="3770"/>
      </w:tblGrid>
      <w:tr>
        <w:trPr>
          <w:tblHeader/>
        </w:trPr>
        <w:tc>
          <w:tcPr>
            <w:tcW w:type="dxa" w:w="2200"/>
            <w:shd w:fill="0B49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提示</w:t>
            </w:r>
          </w:p>
        </w:tc>
        <w:tc>
          <w:tcPr>
            <w:tcW w:type="dxa" w:w="3050"/>
            <w:shd w:fill="0B49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含义</w:t>
            </w:r>
          </w:p>
        </w:tc>
        <w:tc>
          <w:tcPr>
            <w:tcW w:type="dxa" w:w="3770"/>
            <w:shd w:fill="0B49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处理顺序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de0 与 delr 高相关</w:t>
            </w:r>
          </w:p>
        </w:tc>
        <w:tc>
          <w:tcPr>
            <w:tcW w:type="dxa" w:w="30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能量相位与距离相位难以区分</w:t>
            </w:r>
          </w:p>
        </w:tc>
        <w:tc>
          <w:tcPr>
            <w:tcW w:type="dxa" w:w="377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检查能量校准→扩大有效 k 范围→共享 ΔE₀→约束 ΔR</w:t>
            </w:r>
          </w:p>
        </w:tc>
      </w:tr>
      <w:tr>
        <w:tc>
          <w:tcPr>
            <w:tcW w:type="dxa" w:w="220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某参数误差 &gt;50%</w:t>
            </w:r>
          </w:p>
        </w:tc>
        <w:tc>
          <w:tcPr>
            <w:tcW w:type="dxa" w:w="305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数据不能独立确定该参数</w:t>
            </w:r>
          </w:p>
        </w:tc>
        <w:tc>
          <w:tcPr>
            <w:tcW w:type="dxa" w:w="377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固定或共享参数→减少路径→调整范围→检查数据质量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R-factor &gt;0.05</w:t>
            </w:r>
          </w:p>
        </w:tc>
        <w:tc>
          <w:tcPr>
            <w:tcW w:type="dxa" w:w="30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模型/路径/范围或数据质量可能不合适</w:t>
            </w:r>
          </w:p>
        </w:tc>
        <w:tc>
          <w:tcPr>
            <w:tcW w:type="dxa" w:w="377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看残差位置→核对路径→核对第一壳→再考虑第二壳</w:t>
            </w:r>
          </w:p>
        </w:tc>
      </w:tr>
      <w:tr>
        <w:tc>
          <w:tcPr>
            <w:tcW w:type="dxa" w:w="220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参数贴近上下限</w:t>
            </w:r>
          </w:p>
        </w:tc>
        <w:tc>
          <w:tcPr>
            <w:tcW w:type="dxa" w:w="305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优化被边界截断</w:t>
            </w:r>
          </w:p>
        </w:tc>
        <w:tc>
          <w:tcPr>
            <w:tcW w:type="dxa" w:w="377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先判断模型是否错误，不要只盲目放宽边界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S₀²超范围</w:t>
            </w:r>
          </w:p>
        </w:tc>
        <w:tc>
          <w:tcPr>
            <w:tcW w:type="dxa" w:w="305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振幅标定不可信</w:t>
            </w:r>
          </w:p>
        </w:tc>
        <w:tc>
          <w:tcPr>
            <w:tcW w:type="dxa" w:w="377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固定 CN并核对简并度、归一化、自吸收和路径完整性</w:t>
            </w:r>
          </w:p>
        </w:tc>
      </w:tr>
    </w:tbl>
    <w:p>
      <w:pPr>
        <w:pStyle w:val="Heading2"/>
        <w:keepNext/>
        <w:spacing w:after="140" w:before="220"/>
      </w:pPr>
      <w:r>
        <w:t xml:space="preserve">6.3 IFEFFIT 原生拟合错误</w:t>
      </w:r>
    </w:p>
    <w:p>
      <w:pPr>
        <w:spacing w:after="80" w:before="120"/>
        <w:jc w:val="center"/>
      </w:pPr>
      <w:r>
        <w:drawing>
          <wp:inline distT="0" distB="0" distL="0" distR="0">
            <wp:extent cx="371475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 w:line="32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77A"/>
          <w:sz w:val="18"/>
          <w:szCs w:val="18"/>
        </w:rPr>
        <w:t xml:space="preserve">图 5  背景扣除 rbkg 与拟合 Rmin 冲突的原生 IFEFFIT 错误示例。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回到 Athena 检查 rbkg，不要让拟合 Rmin 小于背景扣除使用的 rbkg。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重新传递数据后再拟合；旧的 χ(k) 缓存不应继续使用。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确认后端状态为 Demeter/IFEFFIT 原生拟合，而不是兼容结果或禁用状态。</w:t>
      </w:r>
    </w:p>
    <w:p>
      <w:r>
        <w:br w:type="page"/>
      </w:r>
    </w:p>
    <w:p>
      <w:pPr>
        <w:pStyle w:val="Heading1"/>
        <w:keepNext/>
        <w:spacing w:after="140" w:before="320"/>
      </w:pPr>
      <w:r>
        <w:t xml:space="preserve">7. 最终结果应该保存什么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拟合配置：样品名、吸收边、E₀、k/R 范围、k-weight、窗口、dk、拟合空间。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每条路径：Path、dFEFF/Reff、N、R、ΔR、σ²、标准误差、固定/变化/约束状态。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全局参数：S₀²、ΔE₀及标准误差。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质量统计：R-factor、χ²/reduced χ²、Nind、变量数、Nfree、AIC、BIC、最大相关系数。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曲线和原始数据：能量空间、K空间、R空间实验/拟合叠加，以及 HAMA 小波图与网格数据。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7202A"/>
          <w:sz w:val="21"/>
          <w:szCs w:val="21"/>
        </w:rPr>
        <w:t xml:space="preserve">分阶段记录：每个 stage 的路径数、壳层、是否接受、拒绝原因。</w:t>
      </w:r>
    </w:p>
    <w:p>
      <w:pPr>
        <w:pStyle w:val="Heading2"/>
        <w:keepNext/>
        <w:spacing w:after="140" w:before="220"/>
      </w:pPr>
      <w:r>
        <w:t xml:space="preserve">7.1 论文表格示例</w:t>
      </w:r>
    </w:p>
    <w:tbl>
      <w:tblPr>
        <w:tblW w:type="dxa" w:w="9020"/>
        <w:tblBorders>
          <w:top w:val="single" w:color="C9D6E2" w:sz="1"/>
          <w:left w:val="single" w:color="C9D6E2" w:sz="1"/>
          <w:bottom w:val="single" w:color="C9D6E2" w:sz="1"/>
          <w:right w:val="single" w:color="C9D6E2" w:sz="1"/>
          <w:insideH w:val="single" w:color="C9D6E2" w:sz="1"/>
          <w:insideV w:val="single" w:color="C9D6E2" w:sz="1"/>
        </w:tblBorders>
      </w:tblPr>
      <w:tblGrid>
        <w:gridCol w:w="2200"/>
        <w:gridCol w:w="1700"/>
        <w:gridCol w:w="1700"/>
        <w:gridCol w:w="1700"/>
        <w:gridCol w:w="1720"/>
      </w:tblGrid>
      <w:tr>
        <w:trPr>
          <w:tblHeader/>
        </w:trPr>
        <w:tc>
          <w:tcPr>
            <w:tcW w:type="dxa" w:w="2200"/>
            <w:shd w:fill="0B49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Path</w:t>
            </w:r>
          </w:p>
        </w:tc>
        <w:tc>
          <w:tcPr>
            <w:tcW w:type="dxa" w:w="1700"/>
            <w:shd w:fill="0B49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dFEFF / Å</w:t>
            </w:r>
          </w:p>
        </w:tc>
        <w:tc>
          <w:tcPr>
            <w:tcW w:type="dxa" w:w="1700"/>
            <w:shd w:fill="0B49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</w:t>
            </w:r>
          </w:p>
        </w:tc>
        <w:tc>
          <w:tcPr>
            <w:tcW w:type="dxa" w:w="1700"/>
            <w:shd w:fill="0B49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 / Å</w:t>
            </w:r>
          </w:p>
        </w:tc>
        <w:tc>
          <w:tcPr>
            <w:tcW w:type="dxa" w:w="1720"/>
            <w:shd w:fill="0B49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σ² / Å²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第一壳 A–O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FEFF值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拟合值(误差)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拟合值(误差)</w:t>
            </w:r>
          </w:p>
        </w:tc>
        <w:tc>
          <w:tcPr>
            <w:tcW w:type="dxa" w:w="172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拟合值(误差)</w:t>
            </w:r>
          </w:p>
        </w:tc>
      </w:tr>
      <w:tr>
        <w:tc>
          <w:tcPr>
            <w:tcW w:type="dxa" w:w="220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第二壳 A–M1</w:t>
            </w:r>
          </w:p>
        </w:tc>
        <w:tc>
          <w:tcPr>
            <w:tcW w:type="dxa" w:w="170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FEFF值</w:t>
            </w:r>
          </w:p>
        </w:tc>
        <w:tc>
          <w:tcPr>
            <w:tcW w:type="dxa" w:w="170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固定或拟合</w:t>
            </w:r>
          </w:p>
        </w:tc>
        <w:tc>
          <w:tcPr>
            <w:tcW w:type="dxa" w:w="170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拟合值(误差)</w:t>
            </w:r>
          </w:p>
        </w:tc>
        <w:tc>
          <w:tcPr>
            <w:tcW w:type="dxa" w:w="1720"/>
            <w:shd w:fill="F7FAF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拟合值(误差)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第二壳 A–M2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FEFF值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固定或拟合</w:t>
            </w:r>
          </w:p>
        </w:tc>
        <w:tc>
          <w:tcPr>
            <w:tcW w:type="dxa" w:w="17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拟合值(误差)</w:t>
            </w:r>
          </w:p>
        </w:tc>
        <w:tc>
          <w:tcPr>
            <w:tcW w:type="dxa" w:w="172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共享或拟合</w:t>
            </w:r>
          </w:p>
        </w:tc>
      </w:tr>
    </w:tbl>
    <w:p>
      <w:pPr>
        <w:spacing w:after="120" w:before="0" w:line="3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B677A"/>
          <w:sz w:val="19"/>
          <w:szCs w:val="19"/>
        </w:rPr>
        <w:t xml:space="preserve">表下注明：S₀²是否固定、ΔE₀是否全局共享、数据与拟合范围、独立点数、变量数、R-factor，以及 CN/σ²共享约束。括号内为 1σ 标准误差。</w:t>
      </w:r>
    </w:p>
    <w:p>
      <w:pPr>
        <w:pStyle w:val="Heading1"/>
        <w:keepNext/>
        <w:spacing w:after="140" w:before="320"/>
      </w:pPr>
      <w:r>
        <w:t xml:space="preserve">8. 快速检查清单</w:t>
      </w:r>
    </w:p>
    <w:tbl>
      <w:tblPr>
        <w:tblW w:type="dxa" w:w="9020"/>
        <w:tblBorders>
          <w:top w:val="single" w:color="C9D6E2" w:sz="1"/>
          <w:left w:val="single" w:color="14945E" w:sz="8"/>
          <w:bottom w:val="single" w:color="C9D6E2" w:sz="1"/>
          <w:right w:val="single" w:color="C9D6E2" w:sz="1"/>
          <w:insideH w:val="single" w:color="C9D6E2" w:sz="1"/>
          <w:insideV w:val="single" w:color="C9D6E2" w:sz="1"/>
        </w:tblBorders>
      </w:tblPr>
      <w:tblGrid>
        <w:gridCol w:w="9020"/>
      </w:tblGrid>
      <w:tr>
        <w:tc>
          <w:tcPr>
            <w:tcW w:type="dxa" w:w="9020"/>
            <w:shd w:fill="EAF8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4945E"/>
                <w:sz w:val="22"/>
                <w:szCs w:val="22"/>
              </w:rPr>
              <w:t xml:space="preserve">第一壳完成了吗？</w:t>
            </w:r>
          </w:p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路径归属正确；Nind&gt;变量数；相位、振幅和残差合理；参数未贴边；误差可接受；最终采用阶段已回填。</w:t>
            </w:r>
          </w:p>
        </w:tc>
      </w:tr>
    </w:tbl>
    <w:tbl>
      <w:tblPr>
        <w:tblW w:type="dxa" w:w="9020"/>
        <w:tblBorders>
          <w:top w:val="single" w:color="C9D6E2" w:sz="1"/>
          <w:left w:val="single" w:color="14945E" w:sz="8"/>
          <w:bottom w:val="single" w:color="C9D6E2" w:sz="1"/>
          <w:right w:val="single" w:color="C9D6E2" w:sz="1"/>
          <w:insideH w:val="single" w:color="C9D6E2" w:sz="1"/>
          <w:insideV w:val="single" w:color="C9D6E2" w:sz="1"/>
        </w:tblBorders>
      </w:tblPr>
      <w:tblGrid>
        <w:gridCol w:w="9020"/>
      </w:tblGrid>
      <w:tr>
        <w:tc>
          <w:tcPr>
            <w:tcW w:type="dxa" w:w="9020"/>
            <w:shd w:fill="EAF8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4945E"/>
                <w:sz w:val="22"/>
                <w:szCs w:val="22"/>
              </w:rPr>
              <w:t xml:space="preserve">可以加入第二壳吗？</w:t>
            </w:r>
          </w:p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第一壳稳定；第二壳路径有结构依据；S₀²保持固定；选择了单一拟合空间；按 ΔR→σ²→CN 顺序释放。</w:t>
            </w:r>
          </w:p>
        </w:tc>
      </w:tr>
    </w:tbl>
    <w:tbl>
      <w:tblPr>
        <w:tblW w:type="dxa" w:w="9020"/>
        <w:tblBorders>
          <w:top w:val="single" w:color="C9D6E2" w:sz="1"/>
          <w:left w:val="single" w:color="14945E" w:sz="8"/>
          <w:bottom w:val="single" w:color="C9D6E2" w:sz="1"/>
          <w:right w:val="single" w:color="C9D6E2" w:sz="1"/>
          <w:insideH w:val="single" w:color="C9D6E2" w:sz="1"/>
          <w:insideV w:val="single" w:color="C9D6E2" w:sz="1"/>
        </w:tblBorders>
      </w:tblPr>
      <w:tblGrid>
        <w:gridCol w:w="9020"/>
      </w:tblGrid>
      <w:tr>
        <w:tc>
          <w:tcPr>
            <w:tcW w:type="dxa" w:w="9020"/>
            <w:shd w:fill="EAF8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0" w:line="32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4945E"/>
                <w:sz w:val="22"/>
                <w:szCs w:val="22"/>
              </w:rPr>
              <w:t xml:space="preserve">第二壳可以接受吗？</w:t>
            </w:r>
          </w:p>
          <w:p>
            <w:pPr>
              <w:spacing w:after="0" w:before="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7202A"/>
                <w:sz w:val="21"/>
                <w:szCs w:val="21"/>
              </w:rPr>
              <w:t xml:space="preserve">AIC/R-factor 有实质改善；K/R 双空间均改善；相关性不过高；参数及误差物理合理；结果对小幅范围变化具有稳定性。</w:t>
            </w:r>
          </w:p>
        </w:tc>
      </w:tr>
    </w:tbl>
    <w:p>
      <w:pPr>
        <w:spacing w:after="120" w:before="260" w:line="3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0B4964"/>
          <w:sz w:val="21"/>
          <w:szCs w:val="21"/>
        </w:rPr>
        <w:t xml:space="preserve">建议把第一壳和第一+第二壳的结果包分别保存，避免只保留最终结果而无法追溯新增路径是否真正改善模型。</w:t>
      </w:r>
    </w:p>
    <w:sectPr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5B677A"/>
        <w:sz w:val="17"/>
        <w:szCs w:val="17"/>
      </w:rPr>
      <w:t xml:space="preserve">XAFS Workbench 分阶段拟合说明  |  </w:t>
    </w:r>
    <w:r>
      <w:rPr>
        <w:rFonts w:ascii="Microsoft YaHei" w:cs="Microsoft YaHei" w:eastAsia="Microsoft YaHei" w:hAnsi="Microsoft YaHei"/>
        <w:color w:val="5B677A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  <w:lvl w:ilvl="1" w15:tentative="1">
      <w:start w:val="1"/>
      <w:numFmt w:val="bullet"/>
      <w:lvlText w:val="–"/>
      <w:lvlJc w:val="left"/>
      <w:pPr>
        <w:ind w:left="7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7202A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Microsoft YaHei" w:cs="Microsoft YaHei" w:eastAsia="Microsoft YaHei" w:hAnsi="Microsoft YaHei"/>
      <w:b/>
      <w:bCs/>
      <w:color w:val="0B4964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Microsoft YaHei" w:cs="Microsoft YaHei" w:eastAsia="Microsoft YaHei" w:hAnsi="Microsoft YaHei"/>
      <w:b/>
      <w:bCs/>
      <w:color w:val="0B4964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087A9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color w:val="1720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3266f5bd9e6da2f8dadf41dbaf5fac3a73cebbc.png"/><Relationship Id="rId9" Type="http://schemas.openxmlformats.org/officeDocument/2006/relationships/image" Target="media/c4ebe9404db7cec7d380e15fe88cb4e032c9ce7a.png"/><Relationship Id="rId10" Type="http://schemas.openxmlformats.org/officeDocument/2006/relationships/image" Target="media/fca5b09aa459d84a779764dcf8ea7620ce7b94cd.png"/><Relationship Id="rId11" Type="http://schemas.openxmlformats.org/officeDocument/2006/relationships/image" Target="media/691a11e0020696a7070e11cdedb14a88af778c49.png"/><Relationship Id="rId12" Type="http://schemas.openxmlformats.org/officeDocument/2006/relationships/image" Target="media/d40ccc38ad0e4112854b68bd0271d1be90a3f7ed.png"/><Relationship Id="rId13" Type="http://schemas.openxmlformats.org/officeDocument/2006/relationships/image" Target="media/6568efa07c6978cb3b726fd42e4dd386fbef9ac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XAFS Workbench 数据处理与分阶段拟合说明：第一配位层到第二配位层</dc:title>
  <dc:creator>Codex for XAFS Workbench</dc:creator>
  <dc:description>Athena/Artemis/IFEFFIT/HAMA native workflow guide</dc:description>
  <cp:lastModifiedBy>Un-named</cp:lastModifiedBy>
  <cp:revision>1</cp:revision>
  <dcterms:created xsi:type="dcterms:W3CDTF">2026-09-08T10:07:13.330Z</dcterms:created>
  <dcterms:modified xsi:type="dcterms:W3CDTF">2026-09-08T10:07:13.331Z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