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67E15A6">
      <w:pPr>
        <w:keepNext w:val="0"/>
        <w:keepLines w:val="0"/>
        <w:pageBreakBefore w:val="0"/>
        <w:widowControl w:val="0"/>
        <w:kinsoku/>
        <w:wordWrap/>
        <w:overflowPunct/>
        <w:topLinePunct w:val="0"/>
        <w:autoSpaceDE/>
        <w:autoSpaceDN/>
        <w:bidi w:val="0"/>
        <w:adjustRightInd/>
        <w:snapToGrid/>
        <w:ind w:firstLine="560" w:firstLineChars="200"/>
        <w:textAlignment w:val="auto"/>
        <w:rPr>
          <w:rFonts w:hint="default" w:ascii="仿宋_GB2312" w:hAnsi="仿宋_GB2312" w:eastAsia="仿宋_GB2312" w:cs="仿宋_GB2312"/>
          <w:sz w:val="28"/>
          <w:szCs w:val="28"/>
          <w:lang w:val="en-US" w:eastAsia="zh-CN"/>
        </w:rPr>
      </w:pPr>
      <w:r>
        <w:rPr>
          <w:rFonts w:hint="eastAsia" w:ascii="仿宋_GB2312" w:hAnsi="仿宋_GB2312" w:eastAsia="仿宋_GB2312" w:cs="仿宋_GB2312"/>
          <w:sz w:val="28"/>
          <w:szCs w:val="28"/>
        </w:rPr>
        <w:t>圣盾共和国是采用斯巴达制度的人类国家，是人类三国中最封闭，阶级分划最严格，军事化程度最高的国家。</w:t>
      </w:r>
      <w:r>
        <w:rPr>
          <w:rFonts w:hint="eastAsia" w:ascii="仿宋_GB2312" w:hAnsi="仿宋_GB2312" w:eastAsia="仿宋_GB2312" w:cs="仿宋_GB2312"/>
          <w:sz w:val="28"/>
          <w:szCs w:val="28"/>
          <w:lang w:val="en-US" w:eastAsia="zh-CN"/>
        </w:rPr>
        <w:t>其边境与晶裔发生直接冲突，处于长期的战争状态。</w:t>
      </w:r>
    </w:p>
    <w:p w14:paraId="36DD5BA1">
      <w:pPr>
        <w:keepNext w:val="0"/>
        <w:keepLines w:val="0"/>
        <w:pageBreakBefore w:val="0"/>
        <w:widowControl w:val="0"/>
        <w:kinsoku/>
        <w:wordWrap/>
        <w:overflowPunct/>
        <w:topLinePunct w:val="0"/>
        <w:autoSpaceDE/>
        <w:autoSpaceDN/>
        <w:bidi w:val="0"/>
        <w:adjustRightInd/>
        <w:snapToGrid/>
        <w:textAlignment w:val="auto"/>
        <w:rPr>
          <w:rFonts w:hint="eastAsia" w:ascii="仿宋_GB2312" w:hAnsi="仿宋_GB2312" w:eastAsia="仿宋_GB2312" w:cs="仿宋_GB2312"/>
          <w:sz w:val="28"/>
          <w:szCs w:val="28"/>
        </w:rPr>
      </w:pPr>
      <w:r>
        <w:rPr>
          <w:rFonts w:hint="eastAsia" w:ascii="仿宋_GB2312" w:hAnsi="仿宋_GB2312" w:eastAsia="仿宋_GB2312" w:cs="仿宋_GB2312"/>
          <w:sz w:val="28"/>
          <w:szCs w:val="28"/>
          <w:lang w:val="en-US" w:eastAsia="zh-CN"/>
        </w:rPr>
        <w:t>一、</w:t>
      </w:r>
      <w:r>
        <w:rPr>
          <w:rFonts w:hint="eastAsia" w:ascii="仿宋_GB2312" w:hAnsi="仿宋_GB2312" w:eastAsia="仿宋_GB2312" w:cs="仿宋_GB2312"/>
          <w:sz w:val="28"/>
          <w:szCs w:val="28"/>
        </w:rPr>
        <w:t>圣盾的阶级分划</w:t>
      </w:r>
    </w:p>
    <w:p w14:paraId="2B1EAE7D">
      <w:pPr>
        <w:keepNext w:val="0"/>
        <w:keepLines w:val="0"/>
        <w:pageBreakBefore w:val="0"/>
        <w:widowControl w:val="0"/>
        <w:kinsoku/>
        <w:wordWrap/>
        <w:overflowPunct/>
        <w:topLinePunct w:val="0"/>
        <w:autoSpaceDE/>
        <w:autoSpaceDN/>
        <w:bidi w:val="0"/>
        <w:adjustRightInd/>
        <w:snapToGrid/>
        <w:textAlignment w:val="auto"/>
        <w:rPr>
          <w:rFonts w:hint="eastAsia" w:ascii="仿宋_GB2312" w:hAnsi="仿宋_GB2312" w:eastAsia="仿宋_GB2312" w:cs="仿宋_GB2312"/>
          <w:sz w:val="28"/>
          <w:szCs w:val="28"/>
          <w:lang w:eastAsia="zh-CN"/>
        </w:rPr>
      </w:pPr>
      <w:r>
        <w:rPr>
          <w:rFonts w:hint="eastAsia" w:ascii="仿宋_GB2312" w:hAnsi="仿宋_GB2312" w:eastAsia="仿宋_GB2312" w:cs="仿宋_GB2312"/>
          <w:sz w:val="28"/>
          <w:szCs w:val="28"/>
        </w:rPr>
        <w:t>根据世袭，战争功勋，和为国家做出贡献不同，圣盾共和国的公民被严格划分为</w:t>
      </w:r>
      <w:r>
        <w:rPr>
          <w:rFonts w:hint="eastAsia" w:ascii="仿宋_GB2312" w:hAnsi="仿宋_GB2312" w:eastAsia="仿宋_GB2312" w:cs="仿宋_GB2312"/>
          <w:sz w:val="28"/>
          <w:szCs w:val="28"/>
          <w:lang w:val="en-US" w:eastAsia="zh-CN"/>
        </w:rPr>
        <w:t>五</w:t>
      </w:r>
      <w:r>
        <w:rPr>
          <w:rFonts w:hint="eastAsia" w:ascii="仿宋_GB2312" w:hAnsi="仿宋_GB2312" w:eastAsia="仿宋_GB2312" w:cs="仿宋_GB2312"/>
          <w:sz w:val="28"/>
          <w:szCs w:val="28"/>
        </w:rPr>
        <w:t>个阶级</w:t>
      </w:r>
      <w:r>
        <w:rPr>
          <w:rFonts w:hint="eastAsia" w:ascii="仿宋_GB2312" w:hAnsi="仿宋_GB2312" w:eastAsia="仿宋_GB2312" w:cs="仿宋_GB2312"/>
          <w:sz w:val="28"/>
          <w:szCs w:val="28"/>
          <w:lang w:eastAsia="zh-CN"/>
        </w:rPr>
        <w:t>：</w:t>
      </w:r>
    </w:p>
    <w:p w14:paraId="5F79501B">
      <w:pPr>
        <w:keepNext w:val="0"/>
        <w:keepLines w:val="0"/>
        <w:pageBreakBefore w:val="0"/>
        <w:widowControl w:val="0"/>
        <w:numPr>
          <w:ilvl w:val="0"/>
          <w:numId w:val="1"/>
        </w:numPr>
        <w:kinsoku/>
        <w:wordWrap/>
        <w:overflowPunct/>
        <w:topLinePunct w:val="0"/>
        <w:autoSpaceDE/>
        <w:autoSpaceDN/>
        <w:bidi w:val="0"/>
        <w:adjustRightInd/>
        <w:snapToGrid/>
        <w:ind w:left="420" w:leftChars="0" w:hanging="420" w:firstLineChars="0"/>
        <w:textAlignment w:val="auto"/>
        <w:rPr>
          <w:rFonts w:hint="eastAsia" w:ascii="仿宋_GB2312" w:hAnsi="仿宋_GB2312" w:eastAsia="仿宋_GB2312" w:cs="仿宋_GB2312"/>
          <w:sz w:val="28"/>
          <w:szCs w:val="28"/>
        </w:rPr>
      </w:pPr>
      <w:r>
        <w:rPr>
          <w:rFonts w:hint="eastAsia" w:ascii="仿宋_GB2312" w:hAnsi="仿宋_GB2312" w:eastAsia="仿宋_GB2312" w:cs="仿宋_GB2312"/>
          <w:sz w:val="28"/>
          <w:szCs w:val="28"/>
        </w:rPr>
        <w:t>金冠：终身世袭的大贵族，议会40%以上的席位和几乎所有的执政官都出身自这一阶级。</w:t>
      </w:r>
    </w:p>
    <w:p w14:paraId="0016565B">
      <w:pPr>
        <w:keepNext w:val="0"/>
        <w:keepLines w:val="0"/>
        <w:pageBreakBefore w:val="0"/>
        <w:widowControl w:val="0"/>
        <w:numPr>
          <w:ilvl w:val="0"/>
          <w:numId w:val="1"/>
        </w:numPr>
        <w:kinsoku/>
        <w:wordWrap/>
        <w:overflowPunct/>
        <w:topLinePunct w:val="0"/>
        <w:autoSpaceDE/>
        <w:autoSpaceDN/>
        <w:bidi w:val="0"/>
        <w:adjustRightInd/>
        <w:snapToGrid/>
        <w:ind w:left="420" w:leftChars="0" w:hanging="420" w:firstLineChars="0"/>
        <w:textAlignment w:val="auto"/>
        <w:rPr>
          <w:rFonts w:hint="eastAsia" w:ascii="仿宋_GB2312" w:hAnsi="仿宋_GB2312" w:eastAsia="仿宋_GB2312" w:cs="仿宋_GB2312"/>
          <w:sz w:val="28"/>
          <w:szCs w:val="28"/>
        </w:rPr>
      </w:pPr>
      <w:r>
        <w:rPr>
          <w:rFonts w:hint="eastAsia" w:ascii="仿宋_GB2312" w:hAnsi="仿宋_GB2312" w:eastAsia="仿宋_GB2312" w:cs="仿宋_GB2312"/>
          <w:sz w:val="28"/>
          <w:szCs w:val="28"/>
        </w:rPr>
        <w:t>银枝：只能世袭三代的小贵族阶级，议会剩余60%的席位归属于银枝阶级，如果三代内没有议员和功勋，银枝阶级会降为铁刃。</w:t>
      </w:r>
    </w:p>
    <w:p w14:paraId="7D21E504">
      <w:pPr>
        <w:keepNext w:val="0"/>
        <w:keepLines w:val="0"/>
        <w:pageBreakBefore w:val="0"/>
        <w:widowControl w:val="0"/>
        <w:numPr>
          <w:ilvl w:val="0"/>
          <w:numId w:val="1"/>
        </w:numPr>
        <w:kinsoku/>
        <w:wordWrap/>
        <w:overflowPunct/>
        <w:topLinePunct w:val="0"/>
        <w:autoSpaceDE/>
        <w:autoSpaceDN/>
        <w:bidi w:val="0"/>
        <w:adjustRightInd/>
        <w:snapToGrid/>
        <w:ind w:left="420" w:leftChars="0" w:hanging="420" w:firstLineChars="0"/>
        <w:textAlignment w:val="auto"/>
        <w:rPr>
          <w:rFonts w:hint="eastAsia" w:ascii="仿宋_GB2312" w:hAnsi="仿宋_GB2312" w:eastAsia="仿宋_GB2312" w:cs="仿宋_GB2312"/>
          <w:sz w:val="28"/>
          <w:szCs w:val="28"/>
        </w:rPr>
      </w:pPr>
      <w:r>
        <w:rPr>
          <w:rFonts w:hint="eastAsia" w:ascii="仿宋_GB2312" w:hAnsi="仿宋_GB2312" w:eastAsia="仿宋_GB2312" w:cs="仿宋_GB2312"/>
          <w:sz w:val="28"/>
          <w:szCs w:val="28"/>
        </w:rPr>
        <w:t>铁刃：最普通的公民，只在公民大会上才拥有投票权，拥有完整的公民权利，但往往铁刃阶级并没有受教育的资金基础。</w:t>
      </w:r>
    </w:p>
    <w:p w14:paraId="7204B650">
      <w:pPr>
        <w:keepNext w:val="0"/>
        <w:keepLines w:val="0"/>
        <w:pageBreakBefore w:val="0"/>
        <w:widowControl w:val="0"/>
        <w:numPr>
          <w:ilvl w:val="0"/>
          <w:numId w:val="1"/>
        </w:numPr>
        <w:kinsoku/>
        <w:wordWrap/>
        <w:overflowPunct/>
        <w:topLinePunct w:val="0"/>
        <w:autoSpaceDE/>
        <w:autoSpaceDN/>
        <w:bidi w:val="0"/>
        <w:adjustRightInd/>
        <w:snapToGrid/>
        <w:ind w:left="420" w:leftChars="0" w:hanging="420" w:firstLineChars="0"/>
        <w:textAlignment w:val="auto"/>
        <w:rPr>
          <w:rFonts w:hint="eastAsia" w:ascii="仿宋_GB2312" w:hAnsi="仿宋_GB2312" w:eastAsia="仿宋_GB2312" w:cs="仿宋_GB2312"/>
          <w:sz w:val="28"/>
          <w:szCs w:val="28"/>
        </w:rPr>
      </w:pPr>
      <w:r>
        <w:rPr>
          <w:rFonts w:hint="eastAsia" w:ascii="仿宋_GB2312" w:hAnsi="仿宋_GB2312" w:eastAsia="仿宋_GB2312" w:cs="仿宋_GB2312"/>
          <w:sz w:val="28"/>
          <w:szCs w:val="28"/>
        </w:rPr>
        <w:t>灰民：圣盾的少数外来者和大多数基础劳动者所处的阶级，其生命权收到圣盾共和国保护，但限制其拥有超出个人需要的资产，没有政治权利，被限制出入部分为公民设立的公共场所，也没有受教育的权利。</w:t>
      </w:r>
    </w:p>
    <w:p w14:paraId="23C6C3D2">
      <w:pPr>
        <w:keepNext w:val="0"/>
        <w:keepLines w:val="0"/>
        <w:pageBreakBefore w:val="0"/>
        <w:widowControl w:val="0"/>
        <w:numPr>
          <w:ilvl w:val="0"/>
          <w:numId w:val="1"/>
        </w:numPr>
        <w:kinsoku/>
        <w:wordWrap/>
        <w:overflowPunct/>
        <w:topLinePunct w:val="0"/>
        <w:autoSpaceDE/>
        <w:autoSpaceDN/>
        <w:bidi w:val="0"/>
        <w:adjustRightInd/>
        <w:snapToGrid/>
        <w:ind w:left="420" w:leftChars="0" w:hanging="420" w:firstLineChars="0"/>
        <w:textAlignment w:val="auto"/>
        <w:rPr>
          <w:rFonts w:hint="eastAsia" w:ascii="仿宋_GB2312" w:hAnsi="仿宋_GB2312" w:eastAsia="仿宋_GB2312" w:cs="仿宋_GB2312"/>
          <w:sz w:val="28"/>
          <w:szCs w:val="28"/>
        </w:rPr>
      </w:pPr>
      <w:r>
        <w:rPr>
          <w:rFonts w:hint="eastAsia" w:ascii="仿宋_GB2312" w:hAnsi="仿宋_GB2312" w:eastAsia="仿宋_GB2312" w:cs="仿宋_GB2312"/>
          <w:sz w:val="28"/>
          <w:szCs w:val="28"/>
        </w:rPr>
        <w:t>烬民</w:t>
      </w:r>
      <w:r>
        <w:rPr>
          <w:rFonts w:hint="eastAsia" w:ascii="仿宋_GB2312" w:hAnsi="仿宋_GB2312" w:eastAsia="仿宋_GB2312" w:cs="仿宋_GB2312"/>
          <w:sz w:val="28"/>
          <w:szCs w:val="28"/>
          <w:lang w:eastAsia="zh-CN"/>
        </w:rPr>
        <w:t>：</w:t>
      </w:r>
      <w:r>
        <w:rPr>
          <w:rFonts w:hint="eastAsia" w:ascii="仿宋_GB2312" w:hAnsi="仿宋_GB2312" w:eastAsia="仿宋_GB2312" w:cs="仿宋_GB2312"/>
          <w:sz w:val="28"/>
          <w:szCs w:val="28"/>
        </w:rPr>
        <w:t>圣盾共和国地位</w:t>
      </w:r>
      <w:r>
        <w:rPr>
          <w:rFonts w:hint="eastAsia" w:ascii="仿宋_GB2312" w:hAnsi="仿宋_GB2312" w:eastAsia="仿宋_GB2312" w:cs="仿宋_GB2312"/>
          <w:sz w:val="28"/>
          <w:szCs w:val="28"/>
          <w:lang w:val="en-US" w:eastAsia="zh-CN"/>
        </w:rPr>
        <w:t>最</w:t>
      </w:r>
      <w:r>
        <w:rPr>
          <w:rFonts w:hint="eastAsia" w:ascii="仿宋_GB2312" w:hAnsi="仿宋_GB2312" w:eastAsia="仿宋_GB2312" w:cs="仿宋_GB2312"/>
          <w:sz w:val="28"/>
          <w:szCs w:val="28"/>
        </w:rPr>
        <w:t>为低下的第五阶级</w:t>
      </w:r>
      <w:r>
        <w:rPr>
          <w:rFonts w:hint="eastAsia" w:ascii="仿宋_GB2312" w:hAnsi="仿宋_GB2312" w:eastAsia="仿宋_GB2312" w:cs="仿宋_GB2312"/>
          <w:sz w:val="28"/>
          <w:szCs w:val="28"/>
          <w:lang w:eastAsia="zh-CN"/>
        </w:rPr>
        <w:t>，</w:t>
      </w:r>
      <w:r>
        <w:rPr>
          <w:rFonts w:hint="eastAsia" w:ascii="仿宋_GB2312" w:hAnsi="仿宋_GB2312" w:eastAsia="仿宋_GB2312" w:cs="仿宋_GB2312"/>
          <w:sz w:val="28"/>
          <w:szCs w:val="28"/>
        </w:rPr>
        <w:t>其被圣盾共和国完全视为一种资产存在，归属于国家或个人。</w:t>
      </w:r>
    </w:p>
    <w:p w14:paraId="729E37EB">
      <w:pPr>
        <w:keepNext w:val="0"/>
        <w:keepLines w:val="0"/>
        <w:pageBreakBefore w:val="0"/>
        <w:widowControl w:val="0"/>
        <w:kinsoku/>
        <w:wordWrap/>
        <w:overflowPunct/>
        <w:topLinePunct w:val="0"/>
        <w:autoSpaceDE/>
        <w:autoSpaceDN/>
        <w:bidi w:val="0"/>
        <w:adjustRightInd/>
        <w:snapToGrid/>
        <w:textAlignment w:val="auto"/>
        <w:rPr>
          <w:rFonts w:hint="eastAsia" w:ascii="仿宋_GB2312" w:hAnsi="仿宋_GB2312" w:eastAsia="仿宋_GB2312" w:cs="仿宋_GB2312"/>
          <w:sz w:val="28"/>
          <w:szCs w:val="28"/>
          <w:lang w:eastAsia="zh-CN"/>
        </w:rPr>
      </w:pPr>
      <w:r>
        <w:rPr>
          <w:rFonts w:hint="eastAsia" w:ascii="仿宋_GB2312" w:hAnsi="仿宋_GB2312" w:eastAsia="仿宋_GB2312" w:cs="仿宋_GB2312"/>
          <w:sz w:val="28"/>
          <w:szCs w:val="28"/>
          <w:lang w:val="en-US" w:eastAsia="zh-CN"/>
        </w:rPr>
        <w:t>二、</w:t>
      </w:r>
      <w:r>
        <w:rPr>
          <w:rFonts w:hint="eastAsia" w:ascii="仿宋_GB2312" w:hAnsi="仿宋_GB2312" w:eastAsia="仿宋_GB2312" w:cs="仿宋_GB2312"/>
          <w:sz w:val="28"/>
          <w:szCs w:val="28"/>
        </w:rPr>
        <w:t>圣盾的军事制度</w:t>
      </w:r>
    </w:p>
    <w:p w14:paraId="506E4E87">
      <w:pPr>
        <w:keepNext w:val="0"/>
        <w:keepLines w:val="0"/>
        <w:pageBreakBefore w:val="0"/>
        <w:widowControl w:val="0"/>
        <w:kinsoku/>
        <w:wordWrap/>
        <w:overflowPunct/>
        <w:topLinePunct w:val="0"/>
        <w:autoSpaceDE/>
        <w:autoSpaceDN/>
        <w:bidi w:val="0"/>
        <w:adjustRightInd/>
        <w:snapToGrid/>
        <w:ind w:firstLine="560" w:firstLineChars="200"/>
        <w:textAlignment w:val="auto"/>
        <w:rPr>
          <w:rFonts w:hint="eastAsia" w:ascii="仿宋_GB2312" w:hAnsi="仿宋_GB2312" w:eastAsia="仿宋_GB2312" w:cs="仿宋_GB2312"/>
          <w:sz w:val="28"/>
          <w:szCs w:val="28"/>
        </w:rPr>
      </w:pPr>
      <w:r>
        <w:rPr>
          <w:rFonts w:hint="eastAsia" w:ascii="仿宋_GB2312" w:hAnsi="仿宋_GB2312" w:eastAsia="仿宋_GB2312" w:cs="仿宋_GB2312"/>
          <w:sz w:val="28"/>
          <w:szCs w:val="28"/>
        </w:rPr>
        <w:t>圣盾共和国采用全民皆兵的强制兵役制，男性公民年满14岁就要接受军事化训练，年满18岁之后必须至少进入军队服役一年，并在离开军队后每年保持军事训练，直至45岁。然而，银枝与金冠阶级往往通过尽量避免一线作战，而是以参谋官之类的文职身份服役。</w:t>
      </w:r>
    </w:p>
    <w:p w14:paraId="18A4E05B">
      <w:pPr>
        <w:keepNext w:val="0"/>
        <w:keepLines w:val="0"/>
        <w:pageBreakBefore w:val="0"/>
        <w:widowControl w:val="0"/>
        <w:kinsoku/>
        <w:wordWrap/>
        <w:overflowPunct/>
        <w:topLinePunct w:val="0"/>
        <w:autoSpaceDE/>
        <w:autoSpaceDN/>
        <w:bidi w:val="0"/>
        <w:adjustRightInd/>
        <w:snapToGrid/>
        <w:ind w:firstLine="560" w:firstLineChars="200"/>
        <w:textAlignment w:val="auto"/>
        <w:rPr>
          <w:rFonts w:hint="eastAsia" w:ascii="仿宋_GB2312" w:hAnsi="仿宋_GB2312" w:eastAsia="仿宋_GB2312" w:cs="仿宋_GB2312"/>
          <w:sz w:val="28"/>
          <w:szCs w:val="28"/>
        </w:rPr>
      </w:pPr>
      <w:r>
        <w:rPr>
          <w:rFonts w:hint="eastAsia" w:ascii="仿宋_GB2312" w:hAnsi="仿宋_GB2312" w:eastAsia="仿宋_GB2312" w:cs="仿宋_GB2312"/>
          <w:sz w:val="28"/>
          <w:szCs w:val="28"/>
        </w:rPr>
        <w:t>圣盾共和国的最大军事单位是军团，以典型的步兵军团为例，每个步兵军团有约10000名士兵。由将领和参谋官之下的千夫长和其副官，百夫长，十夫长逐级进行领导。</w:t>
      </w:r>
    </w:p>
    <w:p w14:paraId="054CB58E">
      <w:pPr>
        <w:keepNext w:val="0"/>
        <w:keepLines w:val="0"/>
        <w:pageBreakBefore w:val="0"/>
        <w:widowControl w:val="0"/>
        <w:kinsoku/>
        <w:wordWrap/>
        <w:overflowPunct/>
        <w:topLinePunct w:val="0"/>
        <w:autoSpaceDE/>
        <w:autoSpaceDN/>
        <w:bidi w:val="0"/>
        <w:adjustRightInd/>
        <w:snapToGrid/>
        <w:ind w:firstLine="560" w:firstLineChars="200"/>
        <w:textAlignment w:val="auto"/>
        <w:rPr>
          <w:rFonts w:hint="eastAsia" w:ascii="仿宋_GB2312" w:hAnsi="仿宋_GB2312" w:eastAsia="仿宋_GB2312" w:cs="仿宋_GB2312"/>
          <w:sz w:val="28"/>
          <w:szCs w:val="28"/>
        </w:rPr>
      </w:pPr>
      <w:r>
        <w:rPr>
          <w:rFonts w:hint="eastAsia" w:ascii="仿宋_GB2312" w:hAnsi="仿宋_GB2312" w:eastAsia="仿宋_GB2312" w:cs="仿宋_GB2312"/>
          <w:sz w:val="28"/>
          <w:szCs w:val="28"/>
        </w:rPr>
        <w:t>十夫长和百夫长是任何一个圣盾公民通过服役年限和功勋可以达到的职位，而将领和千夫长则往往是属于高一级的贵族和少数功勋卓越者的。而参谋官必须是受教育人士才能担任。</w:t>
      </w:r>
    </w:p>
    <w:p w14:paraId="30709061">
      <w:pPr>
        <w:keepNext w:val="0"/>
        <w:keepLines w:val="0"/>
        <w:pageBreakBefore w:val="0"/>
        <w:widowControl w:val="0"/>
        <w:kinsoku/>
        <w:wordWrap/>
        <w:overflowPunct/>
        <w:topLinePunct w:val="0"/>
        <w:autoSpaceDE/>
        <w:autoSpaceDN/>
        <w:bidi w:val="0"/>
        <w:adjustRightInd/>
        <w:snapToGrid/>
        <w:ind w:firstLine="560" w:firstLineChars="200"/>
        <w:textAlignment w:val="auto"/>
        <w:rPr>
          <w:rFonts w:hint="eastAsia" w:ascii="仿宋_GB2312" w:hAnsi="仿宋_GB2312" w:eastAsia="仿宋_GB2312" w:cs="仿宋_GB2312"/>
          <w:sz w:val="28"/>
          <w:szCs w:val="28"/>
        </w:rPr>
      </w:pPr>
      <w:r>
        <w:rPr>
          <w:rFonts w:hint="eastAsia" w:ascii="仿宋_GB2312" w:hAnsi="仿宋_GB2312" w:eastAsia="仿宋_GB2312" w:cs="仿宋_GB2312"/>
          <w:sz w:val="28"/>
          <w:szCs w:val="28"/>
        </w:rPr>
        <w:t>其余军团的总人数大致相同，不同之处在于其战斗人员数量会因为后勤等进行削减，而进入这些军团的门槛也会更高。例如重火力军团往往实际战斗人员只在千人左右，战斗人员的最低阶级至少为铁刃而非灰民。</w:t>
      </w:r>
    </w:p>
    <w:p w14:paraId="42F68B19">
      <w:pPr>
        <w:keepNext w:val="0"/>
        <w:keepLines w:val="0"/>
        <w:pageBreakBefore w:val="0"/>
        <w:widowControl w:val="0"/>
        <w:numPr>
          <w:ilvl w:val="0"/>
          <w:numId w:val="2"/>
        </w:numPr>
        <w:kinsoku/>
        <w:wordWrap/>
        <w:overflowPunct/>
        <w:topLinePunct w:val="0"/>
        <w:autoSpaceDE/>
        <w:autoSpaceDN/>
        <w:bidi w:val="0"/>
        <w:adjustRightInd/>
        <w:snapToGrid/>
        <w:textAlignment w:val="auto"/>
        <w:rPr>
          <w:rFonts w:hint="eastAsia" w:ascii="仿宋_GB2312" w:hAnsi="仿宋_GB2312" w:eastAsia="仿宋_GB2312" w:cs="仿宋_GB2312"/>
          <w:sz w:val="28"/>
          <w:szCs w:val="28"/>
          <w:lang w:val="en-US" w:eastAsia="zh-CN"/>
        </w:rPr>
      </w:pPr>
      <w:r>
        <w:rPr>
          <w:rFonts w:hint="eastAsia" w:ascii="仿宋_GB2312" w:hAnsi="仿宋_GB2312" w:eastAsia="仿宋_GB2312" w:cs="仿宋_GB2312"/>
          <w:sz w:val="28"/>
          <w:szCs w:val="28"/>
          <w:lang w:val="en-US" w:eastAsia="zh-CN"/>
        </w:rPr>
        <w:t>圣盾的科技研究</w:t>
      </w:r>
    </w:p>
    <w:p w14:paraId="1AC9FF96">
      <w:pPr>
        <w:keepNext w:val="0"/>
        <w:keepLines w:val="0"/>
        <w:pageBreakBefore w:val="0"/>
        <w:widowControl w:val="0"/>
        <w:numPr>
          <w:numId w:val="0"/>
        </w:numPr>
        <w:kinsoku/>
        <w:wordWrap/>
        <w:overflowPunct/>
        <w:topLinePunct w:val="0"/>
        <w:autoSpaceDE/>
        <w:autoSpaceDN/>
        <w:bidi w:val="0"/>
        <w:adjustRightInd/>
        <w:snapToGrid/>
        <w:ind w:firstLine="560"/>
        <w:textAlignment w:val="auto"/>
        <w:rPr>
          <w:rFonts w:hint="eastAsia" w:ascii="仿宋_GB2312" w:hAnsi="仿宋_GB2312" w:eastAsia="仿宋_GB2312" w:cs="仿宋_GB2312"/>
          <w:sz w:val="28"/>
          <w:szCs w:val="28"/>
          <w:lang w:val="en-US" w:eastAsia="zh-CN"/>
        </w:rPr>
      </w:pPr>
      <w:r>
        <w:rPr>
          <w:rFonts w:hint="eastAsia" w:ascii="仿宋_GB2312" w:hAnsi="仿宋_GB2312" w:eastAsia="仿宋_GB2312" w:cs="仿宋_GB2312"/>
          <w:sz w:val="28"/>
          <w:szCs w:val="28"/>
          <w:lang w:val="en-US" w:eastAsia="zh-CN"/>
        </w:rPr>
        <w:t>圣盾共和国的科技在人类三国中最为发达，通过对火元素神器“原初之焰”的利用和对以天翼种为主的各种族文明遗迹的相关研究，圣盾拥有极为发达和先进的工匠学相关技术。</w:t>
      </w:r>
    </w:p>
    <w:p w14:paraId="225C7364">
      <w:pPr>
        <w:keepNext w:val="0"/>
        <w:keepLines w:val="0"/>
        <w:pageBreakBefore w:val="0"/>
        <w:widowControl w:val="0"/>
        <w:numPr>
          <w:numId w:val="0"/>
        </w:numPr>
        <w:kinsoku/>
        <w:wordWrap/>
        <w:overflowPunct/>
        <w:topLinePunct w:val="0"/>
        <w:autoSpaceDE/>
        <w:autoSpaceDN/>
        <w:bidi w:val="0"/>
        <w:adjustRightInd/>
        <w:snapToGrid/>
        <w:ind w:firstLine="560"/>
        <w:textAlignment w:val="auto"/>
        <w:rPr>
          <w:rFonts w:hint="default" w:ascii="仿宋_GB2312" w:hAnsi="仿宋_GB2312" w:eastAsia="仿宋_GB2312" w:cs="仿宋_GB2312"/>
          <w:sz w:val="28"/>
          <w:szCs w:val="28"/>
          <w:lang w:val="en-US" w:eastAsia="zh-CN"/>
        </w:rPr>
      </w:pPr>
      <w:r>
        <w:rPr>
          <w:rFonts w:hint="eastAsia" w:ascii="仿宋_GB2312" w:hAnsi="仿宋_GB2312" w:eastAsia="仿宋_GB2312" w:cs="仿宋_GB2312"/>
          <w:sz w:val="28"/>
          <w:szCs w:val="28"/>
          <w:lang w:val="en-US" w:eastAsia="zh-CN"/>
        </w:rPr>
        <w:t>得益于此，圣盾的军队大多会接受不同程度的义体化改造，以提高作战能力，抗击晶裔。</w:t>
      </w:r>
    </w:p>
    <w:p w14:paraId="4A08D61F">
      <w:pPr>
        <w:keepNext w:val="0"/>
        <w:keepLines w:val="0"/>
        <w:pageBreakBefore w:val="0"/>
        <w:widowControl w:val="0"/>
        <w:numPr>
          <w:numId w:val="0"/>
        </w:numPr>
        <w:kinsoku/>
        <w:wordWrap/>
        <w:overflowPunct/>
        <w:topLinePunct w:val="0"/>
        <w:autoSpaceDE/>
        <w:autoSpaceDN/>
        <w:bidi w:val="0"/>
        <w:adjustRightInd/>
        <w:snapToGrid/>
        <w:textAlignment w:val="auto"/>
        <w:rPr>
          <w:rFonts w:hint="default" w:ascii="仿宋_GB2312" w:hAnsi="仿宋_GB2312" w:eastAsia="仿宋_GB2312" w:cs="仿宋_GB2312"/>
          <w:sz w:val="28"/>
          <w:szCs w:val="28"/>
          <w:lang w:val="en-US" w:eastAsia="zh-CN"/>
        </w:rPr>
      </w:pPr>
      <w:r>
        <w:rPr>
          <w:rFonts w:hint="eastAsia" w:ascii="仿宋_GB2312" w:hAnsi="仿宋_GB2312" w:eastAsia="仿宋_GB2312" w:cs="仿宋_GB2312"/>
          <w:sz w:val="28"/>
          <w:szCs w:val="28"/>
          <w:lang w:val="en-US" w:eastAsia="zh-CN"/>
        </w:rPr>
        <w:t>四、E7号研究</w:t>
      </w:r>
    </w:p>
    <w:p w14:paraId="00848E86">
      <w:pPr>
        <w:keepNext w:val="0"/>
        <w:keepLines w:val="0"/>
        <w:pageBreakBefore w:val="0"/>
        <w:widowControl w:val="0"/>
        <w:kinsoku/>
        <w:wordWrap/>
        <w:overflowPunct/>
        <w:topLinePunct w:val="0"/>
        <w:autoSpaceDE/>
        <w:autoSpaceDN/>
        <w:bidi w:val="0"/>
        <w:adjustRightInd/>
        <w:snapToGrid/>
        <w:ind w:firstLine="560" w:firstLineChars="200"/>
        <w:textAlignment w:val="auto"/>
        <w:rPr>
          <w:rFonts w:hint="eastAsia" w:ascii="仿宋_GB2312" w:hAnsi="仿宋_GB2312" w:eastAsia="仿宋_GB2312" w:cs="仿宋_GB2312"/>
          <w:sz w:val="28"/>
          <w:szCs w:val="28"/>
          <w:lang w:val="en-US" w:eastAsia="zh-CN"/>
        </w:rPr>
      </w:pPr>
      <w:r>
        <w:rPr>
          <w:rFonts w:hint="eastAsia" w:ascii="仿宋_GB2312" w:hAnsi="仿宋_GB2312" w:eastAsia="仿宋_GB2312" w:cs="仿宋_GB2312"/>
          <w:sz w:val="28"/>
          <w:szCs w:val="28"/>
          <w:lang w:val="en-US" w:eastAsia="zh-CN"/>
        </w:rPr>
        <w:t>一项开始已久的圣盾共和国秘密研究，旨在通过“原初之焰”的力量融合各大种族的血脉基因，结合圣盾先进的武器技术，制造战斗力强大并易于控制的实验体。</w:t>
      </w:r>
    </w:p>
    <w:p w14:paraId="0FCCA1D5">
      <w:pPr>
        <w:keepNext w:val="0"/>
        <w:keepLines w:val="0"/>
        <w:pageBreakBefore w:val="0"/>
        <w:widowControl w:val="0"/>
        <w:kinsoku/>
        <w:wordWrap/>
        <w:overflowPunct/>
        <w:topLinePunct w:val="0"/>
        <w:autoSpaceDE/>
        <w:autoSpaceDN/>
        <w:bidi w:val="0"/>
        <w:adjustRightInd/>
        <w:snapToGrid/>
        <w:ind w:firstLine="560" w:firstLineChars="200"/>
        <w:textAlignment w:val="auto"/>
        <w:rPr>
          <w:rFonts w:hint="default" w:ascii="仿宋_GB2312" w:hAnsi="仿宋_GB2312" w:eastAsia="仿宋_GB2312" w:cs="仿宋_GB2312"/>
          <w:sz w:val="28"/>
          <w:szCs w:val="28"/>
          <w:lang w:val="en-US" w:eastAsia="zh-CN"/>
        </w:rPr>
      </w:pPr>
      <w:r>
        <w:rPr>
          <w:rFonts w:hint="eastAsia" w:ascii="仿宋_GB2312" w:hAnsi="仿宋_GB2312" w:eastAsia="仿宋_GB2312" w:cs="仿宋_GB2312"/>
          <w:sz w:val="28"/>
          <w:szCs w:val="28"/>
          <w:lang w:val="en-US" w:eastAsia="zh-CN"/>
        </w:rPr>
        <w:t>因为血脉融合的性质并不稳定，在研究中诞生的个体大多因血脉不稳定等原因死亡。在目前尝试的组合中，只有血脉编号BFB0的18个实验体成功产生意识。然而在后续实验中，1至17号个体先后血脉衰竭而亡，目前唯一存活的个体18号出逃，正在被圣盾官方抓捕。</w:t>
      </w:r>
    </w:p>
    <w:p w14:paraId="2F082DD5">
      <w:pPr>
        <w:keepNext w:val="0"/>
        <w:keepLines w:val="0"/>
        <w:pageBreakBefore w:val="0"/>
        <w:widowControl w:val="0"/>
        <w:kinsoku/>
        <w:wordWrap/>
        <w:overflowPunct/>
        <w:topLinePunct w:val="0"/>
        <w:autoSpaceDE/>
        <w:autoSpaceDN/>
        <w:bidi w:val="0"/>
        <w:adjustRightInd/>
        <w:snapToGrid/>
        <w:textAlignment w:val="auto"/>
        <w:rPr>
          <w:rFonts w:hint="default" w:ascii="仿宋_GB2312" w:hAnsi="仿宋_GB2312" w:eastAsia="仿宋_GB2312" w:cs="仿宋_GB2312"/>
          <w:sz w:val="28"/>
          <w:szCs w:val="28"/>
          <w:lang w:val="en-US" w:eastAsia="zh-CN"/>
        </w:rPr>
      </w:pPr>
      <w:r>
        <w:rPr>
          <w:rFonts w:hint="eastAsia" w:ascii="仿宋_GB2312" w:hAnsi="仿宋_GB2312" w:eastAsia="仿宋_GB2312" w:cs="仿宋_GB2312"/>
          <w:sz w:val="28"/>
          <w:szCs w:val="28"/>
          <w:lang w:val="en-US" w:eastAsia="zh-CN"/>
        </w:rPr>
        <w:t>以下是18号出逃时携带的部分资料：</w:t>
      </w:r>
    </w:p>
    <w:p w14:paraId="71E7AFC6">
      <w:pPr>
        <w:keepNext w:val="0"/>
        <w:keepLines w:val="0"/>
        <w:pageBreakBefore w:val="0"/>
        <w:widowControl w:val="0"/>
        <w:kinsoku/>
        <w:wordWrap/>
        <w:overflowPunct/>
        <w:topLinePunct w:val="0"/>
        <w:autoSpaceDE/>
        <w:autoSpaceDN/>
        <w:bidi w:val="0"/>
        <w:adjustRightInd/>
        <w:snapToGrid/>
        <w:textAlignment w:val="auto"/>
        <w:rPr>
          <w:rFonts w:hint="eastAsia" w:ascii="仿宋_GB2312" w:hAnsi="仿宋_GB2312" w:eastAsia="仿宋_GB2312" w:cs="仿宋_GB2312"/>
          <w:sz w:val="28"/>
          <w:szCs w:val="28"/>
        </w:rPr>
      </w:pPr>
      <w:r>
        <w:rPr>
          <w:rFonts w:hint="eastAsia" w:ascii="仿宋_GB2312" w:hAnsi="仿宋_GB2312" w:eastAsia="仿宋_GB2312" w:cs="仿宋_GB2312"/>
          <w:sz w:val="28"/>
          <w:szCs w:val="28"/>
        </w:rPr>
        <w:t>研究报告：武器</w:t>
      </w:r>
    </w:p>
    <w:p w14:paraId="784FCFDD">
      <w:pPr>
        <w:keepNext w:val="0"/>
        <w:keepLines w:val="0"/>
        <w:pageBreakBefore w:val="0"/>
        <w:widowControl w:val="0"/>
        <w:kinsoku/>
        <w:wordWrap/>
        <w:overflowPunct/>
        <w:topLinePunct w:val="0"/>
        <w:autoSpaceDE/>
        <w:autoSpaceDN/>
        <w:bidi w:val="0"/>
        <w:adjustRightInd/>
        <w:snapToGrid/>
        <w:textAlignment w:val="auto"/>
        <w:rPr>
          <w:rFonts w:hint="eastAsia" w:ascii="仿宋_GB2312" w:hAnsi="仿宋_GB2312" w:eastAsia="仿宋_GB2312" w:cs="仿宋_GB2312"/>
          <w:sz w:val="28"/>
          <w:szCs w:val="28"/>
        </w:rPr>
      </w:pPr>
      <w:r>
        <w:rPr>
          <w:rFonts w:hint="eastAsia" w:ascii="仿宋_GB2312" w:hAnsi="仿宋_GB2312" w:eastAsia="仿宋_GB2312" w:cs="仿宋_GB2312"/>
          <w:sz w:val="28"/>
          <w:szCs w:val="28"/>
        </w:rPr>
        <w:t>根据实验体的身体素质，经过多次调整，为现有的E7-BFB0-XX实验体项目设计的武器。</w:t>
      </w:r>
    </w:p>
    <w:p w14:paraId="2AB3A51B">
      <w:pPr>
        <w:keepNext w:val="0"/>
        <w:keepLines w:val="0"/>
        <w:pageBreakBefore w:val="0"/>
        <w:widowControl w:val="0"/>
        <w:kinsoku/>
        <w:wordWrap/>
        <w:overflowPunct/>
        <w:topLinePunct w:val="0"/>
        <w:autoSpaceDE/>
        <w:autoSpaceDN/>
        <w:bidi w:val="0"/>
        <w:adjustRightInd/>
        <w:snapToGrid/>
        <w:textAlignment w:val="auto"/>
        <w:rPr>
          <w:rFonts w:hint="eastAsia" w:ascii="仿宋_GB2312" w:hAnsi="仿宋_GB2312" w:eastAsia="仿宋_GB2312" w:cs="仿宋_GB2312"/>
          <w:sz w:val="28"/>
          <w:szCs w:val="28"/>
        </w:rPr>
      </w:pPr>
      <w:r>
        <w:rPr>
          <w:rFonts w:hint="eastAsia" w:ascii="仿宋_GB2312" w:hAnsi="仿宋_GB2312" w:eastAsia="仿宋_GB2312" w:cs="仿宋_GB2312"/>
          <w:sz w:val="28"/>
          <w:szCs w:val="28"/>
        </w:rPr>
        <w:t>Multi-purpose Infantry eXperimental</w:t>
      </w:r>
    </w:p>
    <w:p w14:paraId="0E479ED7">
      <w:pPr>
        <w:keepNext w:val="0"/>
        <w:keepLines w:val="0"/>
        <w:pageBreakBefore w:val="0"/>
        <w:widowControl w:val="0"/>
        <w:kinsoku/>
        <w:wordWrap/>
        <w:overflowPunct/>
        <w:topLinePunct w:val="0"/>
        <w:autoSpaceDE/>
        <w:autoSpaceDN/>
        <w:bidi w:val="0"/>
        <w:adjustRightInd/>
        <w:snapToGrid/>
        <w:textAlignment w:val="auto"/>
        <w:rPr>
          <w:rFonts w:hint="eastAsia" w:ascii="仿宋_GB2312" w:hAnsi="仿宋_GB2312" w:eastAsia="仿宋_GB2312" w:cs="仿宋_GB2312"/>
          <w:sz w:val="28"/>
          <w:szCs w:val="28"/>
        </w:rPr>
      </w:pPr>
      <w:r>
        <w:rPr>
          <w:rFonts w:hint="eastAsia" w:ascii="仿宋_GB2312" w:hAnsi="仿宋_GB2312" w:eastAsia="仿宋_GB2312" w:cs="仿宋_GB2312"/>
          <w:sz w:val="28"/>
          <w:szCs w:val="28"/>
        </w:rPr>
        <w:t>多用途步兵实验武器M.I.X.</w:t>
      </w:r>
    </w:p>
    <w:p w14:paraId="0857CB98">
      <w:pPr>
        <w:keepNext w:val="0"/>
        <w:keepLines w:val="0"/>
        <w:pageBreakBefore w:val="0"/>
        <w:widowControl w:val="0"/>
        <w:kinsoku/>
        <w:wordWrap/>
        <w:overflowPunct/>
        <w:topLinePunct w:val="0"/>
        <w:autoSpaceDE/>
        <w:autoSpaceDN/>
        <w:bidi w:val="0"/>
        <w:adjustRightInd/>
        <w:snapToGrid/>
        <w:ind w:firstLine="560" w:firstLineChars="200"/>
        <w:textAlignment w:val="auto"/>
        <w:rPr>
          <w:rFonts w:hint="eastAsia" w:ascii="仿宋_GB2312" w:hAnsi="仿宋_GB2312" w:eastAsia="仿宋_GB2312" w:cs="仿宋_GB2312"/>
          <w:sz w:val="28"/>
          <w:szCs w:val="28"/>
        </w:rPr>
      </w:pPr>
      <w:r>
        <w:rPr>
          <w:rFonts w:hint="eastAsia" w:ascii="仿宋_GB2312" w:hAnsi="仿宋_GB2312" w:eastAsia="仿宋_GB2312" w:cs="仿宋_GB2312"/>
          <w:sz w:val="28"/>
          <w:szCs w:val="28"/>
        </w:rPr>
        <w:t>采用可拆分的模块化设计的多用途近战武器，武器匣内嵌有单手长剑，短刃匕首等部件，武器匣本体也可以作为重剑或盾牌使用。</w:t>
      </w:r>
    </w:p>
    <w:p w14:paraId="12997C51">
      <w:pPr>
        <w:keepNext w:val="0"/>
        <w:keepLines w:val="0"/>
        <w:pageBreakBefore w:val="0"/>
        <w:widowControl w:val="0"/>
        <w:kinsoku/>
        <w:wordWrap/>
        <w:overflowPunct/>
        <w:topLinePunct w:val="0"/>
        <w:autoSpaceDE/>
        <w:autoSpaceDN/>
        <w:bidi w:val="0"/>
        <w:adjustRightInd/>
        <w:snapToGrid/>
        <w:ind w:firstLine="560" w:firstLineChars="200"/>
        <w:textAlignment w:val="auto"/>
        <w:rPr>
          <w:rFonts w:hint="eastAsia" w:ascii="仿宋_GB2312" w:hAnsi="仿宋_GB2312" w:eastAsia="仿宋_GB2312" w:cs="仿宋_GB2312"/>
          <w:sz w:val="28"/>
          <w:szCs w:val="28"/>
        </w:rPr>
      </w:pPr>
      <w:r>
        <w:rPr>
          <w:rFonts w:hint="eastAsia" w:ascii="仿宋_GB2312" w:hAnsi="仿宋_GB2312" w:eastAsia="仿宋_GB2312" w:cs="仿宋_GB2312"/>
          <w:sz w:val="28"/>
          <w:szCs w:val="28"/>
        </w:rPr>
        <w:t>其具有吸收环境中弥散的元素能量并为武器所用的实验性功能，但截至目前并不可控。鉴于实验体的强再生能力，元素能量反噬使用者的问题优先级可以延后。</w:t>
      </w:r>
    </w:p>
    <w:p w14:paraId="7F6B8372">
      <w:pPr>
        <w:keepNext w:val="0"/>
        <w:keepLines w:val="0"/>
        <w:pageBreakBefore w:val="0"/>
        <w:widowControl w:val="0"/>
        <w:kinsoku/>
        <w:wordWrap/>
        <w:overflowPunct/>
        <w:topLinePunct w:val="0"/>
        <w:autoSpaceDE/>
        <w:autoSpaceDN/>
        <w:bidi w:val="0"/>
        <w:adjustRightInd/>
        <w:snapToGrid/>
        <w:textAlignment w:val="auto"/>
        <w:rPr>
          <w:rFonts w:hint="eastAsia" w:ascii="仿宋_GB2312" w:hAnsi="仿宋_GB2312" w:eastAsia="仿宋_GB2312" w:cs="仿宋_GB2312"/>
          <w:sz w:val="28"/>
          <w:szCs w:val="28"/>
        </w:rPr>
      </w:pPr>
      <w:r>
        <w:rPr>
          <w:rFonts w:hint="eastAsia" w:ascii="仿宋_GB2312" w:hAnsi="仿宋_GB2312" w:eastAsia="仿宋_GB2312" w:cs="仿宋_GB2312"/>
          <w:sz w:val="28"/>
          <w:szCs w:val="28"/>
        </w:rPr>
        <w:t>Generative Universal Nexus</w:t>
      </w:r>
    </w:p>
    <w:p w14:paraId="745603DD">
      <w:pPr>
        <w:keepNext w:val="0"/>
        <w:keepLines w:val="0"/>
        <w:pageBreakBefore w:val="0"/>
        <w:widowControl w:val="0"/>
        <w:kinsoku/>
        <w:wordWrap/>
        <w:overflowPunct/>
        <w:topLinePunct w:val="0"/>
        <w:autoSpaceDE/>
        <w:autoSpaceDN/>
        <w:bidi w:val="0"/>
        <w:adjustRightInd/>
        <w:snapToGrid/>
        <w:textAlignment w:val="auto"/>
        <w:rPr>
          <w:rFonts w:hint="eastAsia" w:ascii="仿宋_GB2312" w:hAnsi="仿宋_GB2312" w:eastAsia="仿宋_GB2312" w:cs="仿宋_GB2312"/>
          <w:sz w:val="28"/>
          <w:szCs w:val="28"/>
        </w:rPr>
      </w:pPr>
      <w:r>
        <w:rPr>
          <w:rFonts w:hint="eastAsia" w:ascii="仿宋_GB2312" w:hAnsi="仿宋_GB2312" w:eastAsia="仿宋_GB2312" w:cs="仿宋_GB2312"/>
          <w:sz w:val="28"/>
          <w:szCs w:val="28"/>
        </w:rPr>
        <w:t>生成式通用元素聚合器G.U.N.</w:t>
      </w:r>
    </w:p>
    <w:p w14:paraId="39DA2DDF">
      <w:pPr>
        <w:keepNext w:val="0"/>
        <w:keepLines w:val="0"/>
        <w:pageBreakBefore w:val="0"/>
        <w:widowControl w:val="0"/>
        <w:kinsoku/>
        <w:wordWrap/>
        <w:overflowPunct/>
        <w:topLinePunct w:val="0"/>
        <w:autoSpaceDE/>
        <w:autoSpaceDN/>
        <w:bidi w:val="0"/>
        <w:adjustRightInd/>
        <w:snapToGrid/>
        <w:ind w:firstLine="560" w:firstLineChars="200"/>
        <w:textAlignment w:val="auto"/>
        <w:rPr>
          <w:rFonts w:hint="eastAsia" w:ascii="仿宋_GB2312" w:hAnsi="仿宋_GB2312" w:eastAsia="仿宋_GB2312" w:cs="仿宋_GB2312"/>
          <w:sz w:val="28"/>
          <w:szCs w:val="28"/>
        </w:rPr>
      </w:pPr>
      <w:r>
        <w:rPr>
          <w:rFonts w:hint="eastAsia" w:ascii="仿宋_GB2312" w:hAnsi="仿宋_GB2312" w:eastAsia="仿宋_GB2312" w:cs="仿宋_GB2312"/>
          <w:sz w:val="28"/>
          <w:szCs w:val="28"/>
        </w:rPr>
        <w:t>一系列采用相似原理，通过对注入的元素能量进行聚合，压缩，加速后定向发射的远程武器。其核心部件设计来自于天翼种文明遗址■■，目前尚未完全解析其构造，只能对武器的加速回路进行相关改造以针对性适应不同元素的特性。</w:t>
      </w:r>
    </w:p>
    <w:p w14:paraId="3B6EBC4C">
      <w:pPr>
        <w:keepNext w:val="0"/>
        <w:keepLines w:val="0"/>
        <w:pageBreakBefore w:val="0"/>
        <w:widowControl w:val="0"/>
        <w:kinsoku/>
        <w:wordWrap/>
        <w:overflowPunct/>
        <w:topLinePunct w:val="0"/>
        <w:autoSpaceDE/>
        <w:autoSpaceDN/>
        <w:bidi w:val="0"/>
        <w:adjustRightInd/>
        <w:snapToGrid/>
        <w:textAlignment w:val="auto"/>
        <w:rPr>
          <w:rFonts w:hint="eastAsia" w:ascii="仿宋_GB2312" w:hAnsi="仿宋_GB2312" w:eastAsia="仿宋_GB2312" w:cs="仿宋_GB2312"/>
          <w:sz w:val="28"/>
          <w:szCs w:val="28"/>
        </w:rPr>
      </w:pPr>
      <w:r>
        <w:rPr>
          <w:rFonts w:hint="eastAsia" w:ascii="仿宋_GB2312" w:hAnsi="仿宋_GB2312" w:eastAsia="仿宋_GB2312" w:cs="仿宋_GB2312"/>
          <w:sz w:val="28"/>
          <w:szCs w:val="28"/>
        </w:rPr>
        <w:t>研究报告：药物</w:t>
      </w:r>
    </w:p>
    <w:p w14:paraId="75C4FD3E">
      <w:pPr>
        <w:keepNext w:val="0"/>
        <w:keepLines w:val="0"/>
        <w:pageBreakBefore w:val="0"/>
        <w:widowControl w:val="0"/>
        <w:kinsoku/>
        <w:wordWrap/>
        <w:overflowPunct/>
        <w:topLinePunct w:val="0"/>
        <w:autoSpaceDE/>
        <w:autoSpaceDN/>
        <w:bidi w:val="0"/>
        <w:adjustRightInd/>
        <w:snapToGrid/>
        <w:ind w:firstLine="560" w:firstLineChars="200"/>
        <w:textAlignment w:val="auto"/>
        <w:rPr>
          <w:rFonts w:hint="eastAsia" w:ascii="仿宋_GB2312" w:hAnsi="仿宋_GB2312" w:eastAsia="仿宋_GB2312" w:cs="仿宋_GB2312"/>
          <w:sz w:val="28"/>
          <w:szCs w:val="28"/>
        </w:rPr>
      </w:pPr>
      <w:r>
        <w:rPr>
          <w:rFonts w:hint="eastAsia" w:ascii="仿宋_GB2312" w:hAnsi="仿宋_GB2312" w:eastAsia="仿宋_GB2312" w:cs="仿宋_GB2312"/>
          <w:sz w:val="28"/>
          <w:szCs w:val="28"/>
        </w:rPr>
        <w:t>为了保证对实验体的控制力，所有实验体颈部的自动注射项圈内均含有复合型镇定镇痛药物，</w:t>
      </w:r>
      <w:r>
        <w:rPr>
          <w:rFonts w:hint="eastAsia" w:ascii="仿宋_GB2312" w:hAnsi="仿宋_GB2312" w:eastAsia="仿宋_GB2312" w:cs="仿宋_GB2312"/>
          <w:sz w:val="28"/>
          <w:szCs w:val="28"/>
          <w:lang w:val="en-US" w:eastAsia="zh-CN"/>
        </w:rPr>
        <w:t>配方为</w:t>
      </w:r>
      <w:r>
        <w:rPr>
          <w:rFonts w:hint="eastAsia" w:ascii="仿宋_GB2312" w:hAnsi="仿宋_GB2312" w:eastAsia="仿宋_GB2312" w:cs="仿宋_GB2312"/>
          <w:sz w:val="28"/>
          <w:szCs w:val="28"/>
        </w:rPr>
        <w:t>■■■■■■■■■■■■■■■■■■■■■■■■■■■■■■■■■■</w:t>
      </w:r>
      <w:r>
        <w:rPr>
          <w:rFonts w:hint="eastAsia" w:ascii="仿宋_GB2312" w:hAnsi="仿宋_GB2312" w:eastAsia="仿宋_GB2312" w:cs="仿宋_GB2312"/>
          <w:sz w:val="28"/>
          <w:szCs w:val="28"/>
          <w:lang w:eastAsia="zh-CN"/>
        </w:rPr>
        <w:t>，</w:t>
      </w:r>
      <w:r>
        <w:rPr>
          <w:rFonts w:hint="eastAsia" w:ascii="仿宋_GB2312" w:hAnsi="仿宋_GB2312" w:eastAsia="仿宋_GB2312" w:cs="仿宋_GB2312"/>
          <w:sz w:val="28"/>
          <w:szCs w:val="28"/>
        </w:rPr>
        <w:t>用于稳定实验体生命体征，抑制实验体战斗时的痛觉，必要时可以令实验体直接进入深度睡眠状态。</w:t>
      </w:r>
    </w:p>
    <w:p w14:paraId="09014A4D">
      <w:pPr>
        <w:keepNext w:val="0"/>
        <w:keepLines w:val="0"/>
        <w:pageBreakBefore w:val="0"/>
        <w:widowControl w:val="0"/>
        <w:kinsoku/>
        <w:wordWrap/>
        <w:overflowPunct/>
        <w:topLinePunct w:val="0"/>
        <w:autoSpaceDE/>
        <w:autoSpaceDN/>
        <w:bidi w:val="0"/>
        <w:adjustRightInd/>
        <w:snapToGrid/>
        <w:ind w:firstLine="560" w:firstLineChars="200"/>
        <w:textAlignment w:val="auto"/>
        <w:rPr>
          <w:rFonts w:hint="eastAsia" w:ascii="仿宋_GB2312" w:hAnsi="仿宋_GB2312" w:eastAsia="仿宋_GB2312" w:cs="仿宋_GB2312"/>
          <w:sz w:val="28"/>
          <w:szCs w:val="28"/>
        </w:rPr>
      </w:pPr>
      <w:r>
        <w:rPr>
          <w:rFonts w:hint="eastAsia" w:ascii="仿宋_GB2312" w:hAnsi="仿宋_GB2312" w:eastAsia="仿宋_GB2312" w:cs="仿宋_GB2312"/>
          <w:sz w:val="28"/>
          <w:szCs w:val="28"/>
        </w:rPr>
        <w:t>为了确保实验体对帝国的忠诚，此类复合药物具有明显的戒断反应，实验体停药时间超过24小时即会产生强烈的幻痛，根据对</w:t>
      </w:r>
      <w:r>
        <w:rPr>
          <w:rFonts w:hint="eastAsia" w:ascii="仿宋_GB2312" w:hAnsi="仿宋_GB2312" w:eastAsia="仿宋_GB2312" w:cs="仿宋_GB2312"/>
          <w:sz w:val="28"/>
          <w:szCs w:val="28"/>
        </w:rPr>
        <w:t>■■■</w:t>
      </w:r>
      <w:r>
        <w:rPr>
          <w:rFonts w:hint="eastAsia" w:ascii="仿宋_GB2312" w:hAnsi="仿宋_GB2312" w:eastAsia="仿宋_GB2312" w:cs="仿宋_GB2312"/>
          <w:sz w:val="28"/>
          <w:szCs w:val="28"/>
        </w:rPr>
        <w:t>的试验结果，超过95%的实验体会在戒断反应产生后失去反抗能力。</w:t>
      </w:r>
    </w:p>
    <w:p w14:paraId="7728D9AA">
      <w:pPr>
        <w:keepNext w:val="0"/>
        <w:keepLines w:val="0"/>
        <w:pageBreakBefore w:val="0"/>
        <w:widowControl w:val="0"/>
        <w:kinsoku/>
        <w:wordWrap/>
        <w:overflowPunct/>
        <w:topLinePunct w:val="0"/>
        <w:autoSpaceDE/>
        <w:autoSpaceDN/>
        <w:bidi w:val="0"/>
        <w:adjustRightInd/>
        <w:snapToGrid/>
        <w:ind w:firstLine="560" w:firstLineChars="200"/>
        <w:textAlignment w:val="auto"/>
        <w:rPr>
          <w:rFonts w:hint="default" w:ascii="仿宋_GB2312" w:hAnsi="仿宋_GB2312" w:eastAsia="仿宋_GB2312" w:cs="仿宋_GB2312"/>
          <w:sz w:val="28"/>
          <w:szCs w:val="28"/>
          <w:lang w:val="en-US" w:eastAsia="zh-CN"/>
        </w:rPr>
      </w:pPr>
      <w:r>
        <w:rPr>
          <w:rFonts w:hint="eastAsia" w:ascii="仿宋_GB2312" w:hAnsi="仿宋_GB2312" w:eastAsia="仿宋_GB2312" w:cs="仿宋_GB2312"/>
          <w:sz w:val="28"/>
          <w:szCs w:val="28"/>
          <w:lang w:val="en-US" w:eastAsia="zh-CN"/>
        </w:rPr>
        <w:t>批注：这些破烂药物对</w:t>
      </w:r>
      <w:r>
        <w:rPr>
          <w:rFonts w:hint="eastAsia" w:ascii="仿宋_GB2312" w:hAnsi="仿宋_GB2312" w:eastAsia="仿宋_GB2312" w:cs="仿宋_GB2312"/>
          <w:sz w:val="28"/>
          <w:szCs w:val="28"/>
        </w:rPr>
        <w:t>■■</w:t>
      </w:r>
      <w:r>
        <w:rPr>
          <w:rFonts w:hint="eastAsia" w:ascii="仿宋_GB2312" w:hAnsi="仿宋_GB2312" w:eastAsia="仿宋_GB2312" w:cs="仿宋_GB2312"/>
          <w:sz w:val="28"/>
          <w:szCs w:val="28"/>
          <w:lang w:val="en-US" w:eastAsia="zh-CN"/>
        </w:rPr>
        <w:t>的效果越来越弱了！你们这些研究员都是些什么废物！帝国养着你们不是让你们吃干饭的！没有“永恒花束”，就去找替代品！</w:t>
      </w:r>
      <w:bookmarkStart w:id="0" w:name="_GoBack"/>
      <w:bookmarkEnd w:id="0"/>
    </w:p>
    <w:p w14:paraId="0C10B80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仿宋_GB2312" w:hAnsi="仿宋_GB2312" w:eastAsia="仿宋_GB2312" w:cs="仿宋_GB2312"/>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_GB2312">
    <w:panose1 w:val="02010609030101010101"/>
    <w:charset w:val="86"/>
    <w:family w:val="auto"/>
    <w:pitch w:val="default"/>
    <w:sig w:usb0="00000001" w:usb1="080E0000" w:usb2="00000000" w:usb3="00000000" w:csb0="00040000" w:csb1="0000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93BBEA8"/>
    <w:multiLevelType w:val="singleLevel"/>
    <w:tmpl w:val="C93BBEA8"/>
    <w:lvl w:ilvl="0" w:tentative="0">
      <w:start w:val="1"/>
      <w:numFmt w:val="bullet"/>
      <w:lvlText w:val=""/>
      <w:lvlJc w:val="left"/>
      <w:pPr>
        <w:ind w:left="420" w:hanging="420"/>
      </w:pPr>
      <w:rPr>
        <w:rFonts w:hint="default" w:ascii="Wingdings" w:hAnsi="Wingdings"/>
      </w:rPr>
    </w:lvl>
  </w:abstractNum>
  <w:abstractNum w:abstractNumId="1">
    <w:nsid w:val="2F59497C"/>
    <w:multiLevelType w:val="singleLevel"/>
    <w:tmpl w:val="2F59497C"/>
    <w:lvl w:ilvl="0" w:tentative="0">
      <w:start w:val="3"/>
      <w:numFmt w:val="chineseCounting"/>
      <w:suff w:val="nothing"/>
      <w:lvlText w:val="%1、"/>
      <w:lvlJc w:val="left"/>
      <w:rPr>
        <w:rFonts w:hint="eastAsia"/>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1986687"/>
    <w:rsid w:val="7677049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Theme="minorEastAsia" w:cstheme="minorBidi"/>
      <w:kern w:val="2"/>
      <w:sz w:val="21"/>
      <w:szCs w:val="24"/>
      <w:lang w:val="en-US" w:eastAsia="zh-CN" w:bidi="ar-SA"/>
    </w:rPr>
  </w:style>
  <w:style w:type="character" w:default="1" w:styleId="3">
    <w:name w:val="Default Paragraph Font"/>
    <w:semiHidden/>
    <w:qFormat/>
    <w:uiPriority w:val="0"/>
  </w:style>
  <w:style w:type="table" w:default="1" w:styleId="2">
    <w:name w:val="Normal Table"/>
    <w:semiHidden/>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Pages>
  <Words>0</Words>
  <Characters>0</Characters>
  <Lines>0</Lines>
  <Paragraphs>0</Paragraphs>
  <TotalTime>1</TotalTime>
  <ScaleCrop>false</ScaleCrop>
  <LinksUpToDate>false</LinksUpToDate>
  <CharactersWithSpaces>0</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2024-04-20T05:17:00Z</dcterms:created>
  <dc:creator>15998</dc:creator>
  <cp:lastModifiedBy>翰</cp:lastModifiedBy>
  <dcterms:modified xsi:type="dcterms:W3CDTF">2026-03-15T08:11:02Z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A75796CC0656442C87597DF96F44BB34_12</vt:lpwstr>
  </property>
  <property fmtid="{D5CDD505-2E9C-101B-9397-08002B2CF9AE}" pid="4" name="KSOTemplateDocerSaveRecord">
    <vt:lpwstr>eyJoZGlkIjoiNjJjZGE1OTIxN2JhZDE5MTRjMzY4Njc3ZTE2NGFjZGUiLCJ1c2VySWQiOiIxMzMwMjkxNjYwIn0=</vt:lpwstr>
  </property>
</Properties>
</file>