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2">
      <w:pPr>
        <w:pStyle w:val="Heading4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выполнения задач вы можете использовать любые инструменты, предоставляемые согласно инфраструктурному листу.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Название приложения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компании-заказчика.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666666"/>
          <w:sz w:val="24"/>
          <w:szCs w:val="24"/>
          <w:rtl w:val="0"/>
        </w:rPr>
        <w:t xml:space="preserve">Файловая структура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000000" w:rsidDel="00000000" w:rsidP="00000000" w:rsidRDefault="00000000" w:rsidRPr="00000000" w14:paraId="00000009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1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(Single responsibility principle). 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работы с разными сущностями используйте разные формы, где это уместно.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Логическая структура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Логика представления (работа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(SQL-запросы, запись, получение данных). В идеале это должны быть три независимых модуля.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Руководство по стилю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Визуальные компоненты должны соответствовать руководству по стилю, предоставленному в качестве ресурсов к заданию в соответствующем файле. Обеспечьте соблюдение требований всех компонентов в следующих областях: 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цветовая схема, 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размещение логотипа, 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использование шрифтов, 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установка иконки приложения.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Макет и технические характеристики 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компоненты системы должны иметь единый согласованный внешний вид, соответствующий руководству по стилю, а также следующим требованиям: 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 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группировка элементов (в логические категории); 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использование соответствующих элементов управления (например, выпадающих списков для отображения подстановочных значений из базы данных); 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расположение и выравнивание элементов (метки, поля для ввода и т.д.); 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последовательный переход фокуса по элементам интерфейса (по нажатию клавиши TAB); 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общая компоновка логична, понятна и проста в использовании; 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 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соответствующий заголовок на каждом окне приложения (не должно быть значений по умолчанию типа MainWindow, Form1 и тп).</w:t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предоставленные макеты являются лишь примером и рекомендациями к расположению элементов – нет необходимости следовать им «попиксельно».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Обратная связь с пользователем</w:t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Обработка ошибок</w:t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 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Обратите внимание на использование абсолютных и относительных путей к изображениям. Приложение должно корректно работать в том числе и при перемещении папки с исполняемым файлом.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При возникновении непредвиденной ошибки приложение не должно аварийно завершать работу.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Оформление кода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 </w:t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Идентификаторы должны соответствовать соглашению об именовании (Code Convention) и стилю CamelCase (для C#, Java и 1С) и snake_case (для Python). </w:t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Допустимо использование не более одной команды в строке.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Комментарии</w:t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Используйте комментарии для пояснения неочевидных фрагментов кода. </w:t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Используйте тип комментариев, который в дальнейшем позволит сгенерировать XML-документацию, с соответствующими тегами (например, param, return(s), summary и др.)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Оценка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Каждая задача оценивается путем тестирования реализации требуемого функционала. Так как требования к реализуемой системе очень высоки, возможно, будут 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8" w:lineRule="auto"/>
        <w:ind w:right="1703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Предоставление результатов </w:t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практические результаты должны быть переданы заказчику путем загрузки файлов в предоставленную систему контроля версий git. Для каждой сессии могут быть выданы специфические инструкции по сохранению каждого модуля. Практическими результатами являются </w:t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исходный код приложения (в виде коммита текущей версии проекта, но не архивом), </w:t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• прочие графические/текстовые файлы. </w:t>
      </w:r>
    </w:p>
    <w:p w:rsidR="00000000" w:rsidDel="00000000" w:rsidP="00000000" w:rsidRDefault="00000000" w:rsidRPr="00000000" w14:paraId="0000003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При создании коммитов используйте содержательные и понятные комментарии.</w:t>
      </w:r>
    </w:p>
    <w:p w:rsidR="00000000" w:rsidDel="00000000" w:rsidP="00000000" w:rsidRDefault="00000000" w:rsidRPr="00000000" w14:paraId="00000034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оценки работы будет учитываться только содержимое репозитория. При оценке рассматриваются заметки только в электронном виде (readme.md). Рукописные примечания не будут использоваться для оценки. </w:t>
      </w:r>
    </w:p>
    <w:p w:rsidR="00000000" w:rsidDel="00000000" w:rsidP="00000000" w:rsidRDefault="00000000" w:rsidRPr="00000000" w14:paraId="0000003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Репозиторий обязательно должен содержать описание в формате Markdown (см. шаблон в файле README-Template.md или README-Template_rus.md). Заполните также дополнительную информацию о проекте и способе запуска приложения в файле readme.md. </w:t>
      </w:r>
    </w:p>
    <w:p w:rsidR="00000000" w:rsidDel="00000000" w:rsidP="00000000" w:rsidRDefault="00000000" w:rsidRPr="00000000" w14:paraId="0000003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6SUFTRuGPgxt1Cx9jPKzhhsgNQ==">AMUW2mVIaRWzwlkp5q/VAVe/wOuMBhH1eSYkn4f91KHmdW2p9PZwRU/+SLXAWDtoDnxFCsclj+YlaWvTUOnyDCYGkQZgQWr5VFk7rJhR1MGz9yY6ybHR54/vr6zbM8WyN1ANNMZnAY3Q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2021-08-24T07:16:00Z</dcterms:created>
</cp:coreProperties>
</file>