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lastRenderedPageBreak/>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est pris en compte de la même façon qu’un risque survenu : il donne lieu à une nouvelle révision de référence, qui déplace le budget et les jalons contractuels sans effacer l’historique.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64EE3203"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2F03D556"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6E78428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lastRenderedPageBreak/>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4228ED23"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t>Le sous-projet d’une ligne est celui de l’onglet qui la porte, le format plaçant chaque sous-projet dans un onglet.</w:t>
            </w:r>
            <w:commentRangeEnd w:id="33"/>
            <w:r w:rsidR="00702687" w:rsidRPr="00800819">
              <w:rPr>
                <w:rStyle w:val="Marquedecommentaire"/>
                <w:sz w:val="24"/>
                <w:szCs w:val="24"/>
              </w:rPr>
              <w:commentReference w:id="33"/>
            </w:r>
            <w:r w:rsidRPr="00800819">
              <w:t xml:space="preserve">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lastRenderedPageBreak/>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w:t>
            </w:r>
            <w:r w:rsidRPr="009308D3">
              <w:rPr>
                <w:sz w:val="20"/>
                <w:szCs w:val="20"/>
              </w:rPr>
              <w:lastRenderedPageBreak/>
              <w:t>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lastRenderedPageBreak/>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lastRenderedPageBreak/>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w:t>
      </w:r>
      <w:r w:rsidRPr="0010467F">
        <w:lastRenderedPageBreak/>
        <w:t xml:space="preserve">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xml:space="preserve">: les années suivantes sont </w:t>
      </w:r>
      <w:r w:rsidRPr="0010467F">
        <w:lastRenderedPageBreak/>
        <w:t>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t>Deux découpages sans lien entre eux.</w:t>
      </w:r>
    </w:p>
    <w:p w14:paraId="0D6CF508" w14:textId="7B9CFFC9"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récapitulative qui les porte,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575DB8BC"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 xml:space="preserve">Cette liste est une donnée du projet, comme son lotissement, et c’est elle qui dit qui participe à cette affaire et peut l’ouvrir, là où les rôles </w:t>
      </w:r>
      <w:r>
        <w:lastRenderedPageBreak/>
        <w:t>d’habilitation disent ce qu’un utilisateur a le droit de faire ; chacun y est inscrit comme chef de projet ou comme contributeur,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18C995D3" w:rsidR="00A01853" w:rsidRPr="00A01853" w:rsidRDefault="00A01853" w:rsidP="00A01853">
      <w:pPr>
        <w:jc w:val="both"/>
      </w:pPr>
      <w:commentRangeStart w:id="63"/>
      <w:commentRangeStart w:id="64"/>
      <w:r>
        <w:rPr>
          <w:b/>
          <w:bCs/>
        </w:rPr>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65"/>
      <w:r w:rsidR="00D038D6" w:rsidRPr="00A01853">
        <w:rPr>
          <w:rStyle w:val="Marquedecommentaire"/>
          <w:sz w:val="24"/>
          <w:szCs w:val="24"/>
        </w:rPr>
        <w:commentReference w:id="65"/>
      </w:r>
      <w:r w:rsidRPr="00A01853">
        <w:t>Le budget de référence est la somme des montants budgétés</w:t>
      </w:r>
      <w:r w:rsidR="00064ACC">
        <w:t> </w:t>
      </w:r>
      <w:r w:rsidRPr="00A01853">
        <w:t xml:space="preserve">; le reste à engager se calcule sur les montants réestimés. </w:t>
      </w:r>
      <w:r>
        <w:t>Une ligne ajoutée après la référence — tâche non anticipée — porte un montant budgété nul : elle pèse sur le reste à engager, jamais sur le budget. Les lignes issues d’un risque survenu portent, elles, la provision du risque, répartie entre elles (WF-RIS-0060).</w:t>
      </w:r>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rsidRPr="00A01853">
        <w:t xml:space="preserv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xml:space="preserve">: </w:t>
      </w:r>
      <w:r w:rsidRPr="00C47F4B">
        <w:lastRenderedPageBreak/>
        <w:t>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lastRenderedPageBreak/>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lastRenderedPageBreak/>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1AB00E08" w:rsidR="00B12356" w:rsidRDefault="00C32A09" w:rsidP="004C7554">
      <w:pPr>
        <w:keepNext/>
        <w:jc w:val="center"/>
      </w:pPr>
      <w:r>
        <w:rPr>
          <w:noProof/>
        </w:rPr>
        <w:lastRenderedPageBreak/>
        <w:drawing>
          <wp:inline distT="0" distB="0" distL="0" distR="0" wp14:anchorId="4E0DBB70" wp14:editId="32AB7D39">
            <wp:extent cx="5760720" cy="3593465"/>
            <wp:effectExtent l="0" t="0" r="0" b="6985"/>
            <wp:docPr id="19617950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6A03DBA1"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t>Il porte en outre son origine : compte local, compte de l’annuaire d’entreprise, ou compte venu d’un fournisseur d’identité externe (WF-ADM-0180).</w:t>
            </w:r>
            <w:r w:rsidRPr="0051305A">
              <w:t>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w:t>
            </w:r>
            <w:r>
              <w:lastRenderedPageBreak/>
              <w:t>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47C4BFC4"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 xml:space="preserve">Un compte créé par un administrateur ne peut pas se connecter avant que son porteur n'ait fixé son mot de passe par le lien reçu. </w:t>
            </w:r>
            <w:r>
              <w:rPr>
                <w:sz w:val="20"/>
                <w:szCs w:val="20"/>
              </w:rPr>
              <w:t>Aucun écran de Waterfall ne demande, n’affiche ni ne permet de saisir un mot de passe.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lastRenderedPageBreak/>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lastRenderedPageBreak/>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31374F3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xml:space="preserve">: marquer une révision, désigner la révision de référence, déclarer une sortie du cycle de vie, déclarer un risque survenu, </w:t>
            </w:r>
            <w:r>
              <w:t>exclure une ligne de coût du périmètre suivi, restaurer la plateforme, et la permission de consulter tous les projets (WF-PRJ-0060).</w:t>
            </w:r>
            <w:r w:rsidRPr="00D342F4">
              <w:t xml:space="preserv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0545A85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contributeur ce qu’il peut y décider.</w:t>
            </w:r>
            <w:r w:rsidRPr="00E14B63">
              <w:rPr>
                <w:sz w:val="20"/>
                <w:szCs w:val="20"/>
              </w:rPr>
              <w:t xml:space="preserv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w:t>
            </w:r>
            <w:r>
              <w:rPr>
                <w:sz w:val="20"/>
                <w:szCs w:val="20"/>
              </w:rPr>
              <w:lastRenderedPageBreak/>
              <w:t>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lastRenderedPageBreak/>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lastRenderedPageBreak/>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le calendrier des décaissements, ainsi que la santé du pilotage lui-même.</w:t>
      </w:r>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lastRenderedPageBreak/>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lastRenderedPageBreak/>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r>
              <w:t xml:space="preserve">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lastRenderedPageBreak/>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lastRenderedPageBreak/>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 xml:space="preserve">en discuter au bon niveau. Le rapport entre provisions </w:t>
            </w:r>
            <w:r w:rsidRPr="00F9063F">
              <w:rPr>
                <w:sz w:val="20"/>
                <w:szCs w:val="20"/>
              </w:rPr>
              <w:lastRenderedPageBreak/>
              <w:t>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t xml:space="preserve">FBS-2.6 : </w:t>
      </w:r>
      <w:r w:rsidR="006A1085" w:rsidRPr="006A1085">
        <w:t>Décaissements du portefeuille</w:t>
      </w:r>
      <w:bookmarkEnd w:id="118"/>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xml:space="preserve">; et les </w:t>
            </w:r>
            <w:r w:rsidRPr="007E121A">
              <w:lastRenderedPageBreak/>
              <w:t>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lastRenderedPageBreak/>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lastRenderedPageBreak/>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 xml:space="preserve">en sert </w:t>
            </w:r>
            <w:r w:rsidRPr="00A01853">
              <w:rPr>
                <w:sz w:val="20"/>
                <w:szCs w:val="20"/>
              </w:rPr>
              <w:lastRenderedPageBreak/>
              <w:t>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lastRenderedPageBreak/>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lastRenderedPageBreak/>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lastRenderedPageBreak/>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lastRenderedPageBreak/>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lastRenderedPageBreak/>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w:t>
            </w:r>
            <w:r w:rsidRPr="00F637D7">
              <w:lastRenderedPageBreak/>
              <w:t>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3"/>
      <w:r>
        <w:t>Il ne conditionne ni le chiffrage ni le pilotage, qui se font sans lui ; il structure en revanche le fichier de devis de l’annexe B, qui présente une synthèse puis un onglet par lot.</w:t>
      </w:r>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lastRenderedPageBreak/>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lastRenderedPageBreak/>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48F23141"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commentRangeStart w:id="147"/>
            <w:commentRangeEnd w:id="147"/>
            <w:r w:rsidR="003D3218">
              <w:rPr>
                <w:rStyle w:val="Marquedecommentaire"/>
                <w:sz w:val="24"/>
                <w:szCs w:val="24"/>
              </w:rPr>
              <w:commentReference w:id="147"/>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1E2FB1B1"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w:t>
            </w:r>
            <w:r w:rsidRPr="00D91645">
              <w:lastRenderedPageBreak/>
              <w:t>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540B2A5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lastRenderedPageBreak/>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w:t>
            </w:r>
            <w:r w:rsidR="003D3218">
              <w:t> :</w:t>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lastRenderedPageBreak/>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r w:rsidRPr="003D3218">
              <w:t>un mode de planification</w:t>
            </w:r>
          </w:p>
          <w:p w14:paraId="30EA8AC1" w14:textId="5533FD09"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pPr>
            <w:commentRangeStart w:id="154"/>
            <w:r>
              <w:t>et un état — non démarrée, démarrée, terminée</w:t>
            </w:r>
            <w:commentRangeEnd w:id="154"/>
            <w:r w:rsidR="001457C4" w:rsidRPr="003D3218">
              <w:rPr>
                <w:rStyle w:val="Marquedecommentaire"/>
                <w:sz w:val="24"/>
                <w:szCs w:val="24"/>
              </w:rPr>
              <w:commentReference w:id="154"/>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 xml:space="preserve">son appartenance au chemin critique (WF-PLA-0100), </w:t>
            </w:r>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pPr>
            <w:r w:rsidRPr="003D3218">
              <w:t>pour une récapitulative, son avancement physique (WF-IND-0060).</w:t>
            </w:r>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lastRenderedPageBreak/>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66"/>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66"/>
            <w:r w:rsidR="00A04C5A" w:rsidRPr="008261BF">
              <w:rPr>
                <w:rStyle w:val="Marquedecommentaire"/>
                <w:sz w:val="24"/>
                <w:szCs w:val="24"/>
              </w:rPr>
              <w:commentReference w:id="166"/>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 xml:space="preserve">œuvre, elle </w:t>
            </w:r>
            <w:r w:rsidRPr="008261BF">
              <w:lastRenderedPageBreak/>
              <w:t>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lastRenderedPageBreak/>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04CD79FD"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à l’année de référence et son montant corrigé de l’inflation (WF-DEV-0040)</w:t>
            </w:r>
            <w:r w:rsidRPr="0085639B">
              <w: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ni montant budgété ni montant réestimé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22E391"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des heures travaillées de la tâche dans chaque année, sur son calendrier applicable (WF-PLA-0010)</w:t>
            </w:r>
            <w:r w:rsidRPr="00C67E2D">
              <w:t>,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14039C36"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de la tâche dans chacune</w:t>
            </w:r>
            <w:r w:rsidRPr="00C67E2D">
              <w:rPr>
                <w:sz w:val="20"/>
                <w:szCs w:val="20"/>
              </w:rPr>
              <w:t>.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5C81880D"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provisions des risques identifiés —</w:t>
            </w:r>
            <w:r w:rsidRPr="008261BF">
              <w:t xml:space="preserve">, à leur montant budgété, </w:t>
            </w:r>
            <w:r>
              <w:t>étalé sur la durée de leur tâche au prorata des heures travaillées — sur le calendrier de son rôle pour une ligne de main-d’œuvre, sur le calendrier applicable de la tâche sinon —</w:t>
            </w:r>
            <w:r w:rsidRPr="008261BF">
              <w:t xml:space="preserv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4BEABABE"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 xml:space="preserve">on rouvre. </w:t>
            </w:r>
            <w:r>
              <w:t>Les lignes des tâches démarrées sont exposées par défaut à la réestimation du reste à engager ; celles des tâches non démarrées le sont à la demande (WF-RAE-0040).</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CE9B113"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87"/>
            <w:r w:rsidR="005D10AC">
              <w:rPr>
                <w:rStyle w:val="Marquedecommentaire"/>
                <w:sz w:val="24"/>
                <w:szCs w:val="24"/>
              </w:rPr>
              <w:commentReference w:id="187"/>
            </w:r>
            <w:r>
              <w:t xml:space="preserve"> La grille présente la date de fin de chaque tâche, sans la rendre saisissable, et signale les tâches démarrées dont la fin est antérieure à la date de calcul.</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r>
              <w:rPr>
                <w:sz w:val="20"/>
                <w:szCs w:val="20"/>
              </w:rPr>
              <w:t xml:space="preserv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 xml:space="preserve">entrent pas </w:t>
            </w:r>
            <w:r w:rsidRPr="0028209B">
              <w:lastRenderedPageBreak/>
              <w:t>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3356D42">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lastRenderedPageBreak/>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donne accès</w:t>
            </w:r>
            <w:r w:rsidR="00DA6262">
              <w:t> :</w:t>
            </w:r>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lastRenderedPageBreak/>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6ABB19C9"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t>portée par les lignes issues de son devis propre (WF-RIS-0060)</w:t>
            </w:r>
            <w:commentRangeStart w:id="192"/>
            <w:commentRangeEnd w:id="192"/>
            <w:r w:rsidR="00DA6262" w:rsidRPr="00432A02">
              <w:rPr>
                <w:rStyle w:val="Marquedecommentaire"/>
                <w:sz w:val="24"/>
                <w:szCs w:val="24"/>
              </w:rPr>
              <w:commentReference w:id="192"/>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6A23BAD1"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t>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t>
            </w:r>
            <w:commentRangeStart w:id="193"/>
            <w:commentRangeEnd w:id="193"/>
            <w:r w:rsidR="00DA6262">
              <w:rPr>
                <w:rStyle w:val="Marquedecommentaire"/>
                <w:sz w:val="24"/>
                <w:szCs w:val="24"/>
              </w:rPr>
              <w:commentReference w:id="193"/>
            </w:r>
            <w:r w:rsidR="005F15F0">
              <w:t xml:space="preserve"> </w:t>
            </w:r>
            <w:r w:rsidRPr="002C02EC">
              <w:t>La révision marquée qui en résulte devient la révision de référence.</w:t>
            </w:r>
            <w:commentRangeStart w:id="194"/>
            <w:commentRangeEnd w:id="194"/>
            <w:r w:rsidR="00DA6262">
              <w:rPr>
                <w:rStyle w:val="Marquedecommentaire"/>
                <w:sz w:val="24"/>
                <w:szCs w:val="24"/>
              </w:rPr>
              <w:commentReference w:id="194"/>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197139A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w:t>
            </w:r>
            <w:r w:rsidRPr="002F6CD9">
              <w:rPr>
                <w:sz w:val="20"/>
                <w:szCs w:val="20"/>
              </w:rPr>
              <w:lastRenderedPageBreak/>
              <w:t>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lastRenderedPageBreak/>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lastRenderedPageBreak/>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t>Le diagramme temps/temps se calcule pour le seul projet : il suit des jalons, qu’un sous-projet n’a pas.</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5"/>
      <w:commentRangeEnd w:id="205"/>
      <w:r w:rsidR="00BE1A0D" w:rsidRPr="000F327F">
        <w:rPr>
          <w:rStyle w:val="Marquedecommentaire"/>
          <w:sz w:val="24"/>
          <w:szCs w:val="24"/>
        </w:rPr>
        <w:commentReference w:id="205"/>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r>
              <w:t xml:space="preserve">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5" w:name="_Toc241922501"/>
      <w:r>
        <w:t>Interactions entre fonctions</w:t>
      </w:r>
      <w:bookmarkEnd w:id="215"/>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6" w:name="_Toc241922502"/>
      <w:r>
        <w:t>Arbre commun</w:t>
      </w:r>
      <w:bookmarkEnd w:id="216"/>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lastRenderedPageBreak/>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7" w:name="_Toc241922503"/>
      <w:r>
        <w:t>Flux de travail principal</w:t>
      </w:r>
      <w:bookmarkEnd w:id="217"/>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18" w:name="_Toc241948367"/>
      <w:r>
        <w:t xml:space="preserve">Figure </w:t>
      </w:r>
      <w:fldSimple w:instr=" SEQ Figure \* ARABIC ">
        <w:r>
          <w:rPr>
            <w:noProof/>
          </w:rPr>
          <w:t>16</w:t>
        </w:r>
      </w:fldSimple>
      <w:r>
        <w:t xml:space="preserve"> Flux de travail principal</w:t>
      </w:r>
      <w:bookmarkEnd w:id="218"/>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lastRenderedPageBreak/>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
      <w:bookmarkStart w:id="219" w:name="_Toc241922504"/>
      <w:commentRangeStart w:id="220"/>
      <w:r w:rsidRPr="00DC3E7E">
        <w:t>Principes d'interface</w:t>
      </w:r>
      <w:bookmarkEnd w:id="219"/>
      <w:commentRangeEnd w:id="220"/>
      <w:r w:rsidR="00314927">
        <w:rPr>
          <w:rStyle w:val="Marquedecommentaire"/>
          <w:sz w:val="32"/>
          <w:szCs w:val="32"/>
        </w:rPr>
        <w:commentReference w:id="220"/>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lastRenderedPageBreak/>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41D9D8DE"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Une grille se trie sur chacune de ses colonnes et </w:t>
            </w:r>
            <w:r>
              <w:t>se filtre sur chacune de ses colonnes (WF-IHM-0130)</w:t>
            </w:r>
            <w:r w:rsidRPr="00613D98">
              <w:t xml:space="preserve">. L'utilisateur choisit les colonnes visibles et leur largeur. Pendant le défilement vertical, les totaux et les en-têtes restent visibles ; pendant le défilement horizontal, les colonnes qui identifient la ligne </w:t>
            </w:r>
            <w:r w:rsidRPr="00613D98">
              <w:lastRenderedPageBreak/>
              <w:t>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Le marquage d'une révision de dix mille objets laisse l'écran utilisable et présente son avancement. Un utilisateur qui change d'écran pendant un import est informé de son </w:t>
            </w:r>
            <w:r w:rsidRPr="00613D98">
              <w:rPr>
                <w:sz w:val="20"/>
                <w:szCs w:val="20"/>
              </w:rPr>
              <w:lastRenderedPageBreak/>
              <w:t>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w:t>
            </w:r>
            <w:r>
              <w:lastRenderedPageBreak/>
              <w:t>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21" w:name="_Toc241922505"/>
      <w:r>
        <w:lastRenderedPageBreak/>
        <w:t>Architecture technique</w:t>
      </w:r>
      <w:bookmarkEnd w:id="221"/>
    </w:p>
    <w:p w14:paraId="35CDABC1" w14:textId="47D489BB" w:rsidR="00DB7960" w:rsidRDefault="00340FF5" w:rsidP="00496905">
      <w:pPr>
        <w:pStyle w:val="Titre2"/>
        <w:numPr>
          <w:ilvl w:val="1"/>
          <w:numId w:val="4"/>
        </w:numPr>
      </w:pPr>
      <w:bookmarkStart w:id="222" w:name="_Toc241922506"/>
      <w:r>
        <w:t>Principes d’architecture</w:t>
      </w:r>
      <w:bookmarkEnd w:id="222"/>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3" w:name="_Toc241922507"/>
      <w:r w:rsidRPr="0028653E">
        <w:t>Le contrat fait foi</w:t>
      </w:r>
      <w:bookmarkEnd w:id="223"/>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4" w:name="_Toc241922508"/>
      <w:r w:rsidRPr="0028653E">
        <w:t>Le serveur est l</w:t>
      </w:r>
      <w:r w:rsidR="00064ACC">
        <w:t>’</w:t>
      </w:r>
      <w:r w:rsidRPr="0028653E">
        <w:t>autorité</w:t>
      </w:r>
      <w:bookmarkEnd w:id="22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5" w:name="_Toc241922509"/>
      <w:r w:rsidRPr="0028653E">
        <w:t>Les services sont sans état</w:t>
      </w:r>
      <w:bookmarkEnd w:id="225"/>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6" w:name="_Toc241922510"/>
      <w:r>
        <w:t>Découpage technique</w:t>
      </w:r>
      <w:bookmarkEnd w:id="226"/>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7" w:name="_Toc241922511"/>
      <w:r>
        <w:t>Arborescence produit</w:t>
      </w:r>
      <w:bookmarkEnd w:id="227"/>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28" w:name="_Toc241948368"/>
      <w:r>
        <w:t xml:space="preserve">Figure </w:t>
      </w:r>
      <w:fldSimple w:instr=" SEQ Figure \* ARABIC ">
        <w:r w:rsidR="005B32AA">
          <w:rPr>
            <w:noProof/>
          </w:rPr>
          <w:t>17</w:t>
        </w:r>
      </w:fldSimple>
      <w:r>
        <w:t xml:space="preserve"> Arborescence produit</w:t>
      </w:r>
      <w:bookmarkEnd w:id="228"/>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9" w:name="_Toc241922512"/>
      <w:r>
        <w:t>PBS-1</w:t>
      </w:r>
      <w:r w:rsidR="00064ACC">
        <w:t> </w:t>
      </w:r>
      <w:r>
        <w:t>: Frontend</w:t>
      </w:r>
      <w:bookmarkEnd w:id="229"/>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0" w:name="_Toc241922513"/>
      <w:r>
        <w:t>PBS-2</w:t>
      </w:r>
      <w:r w:rsidR="00064ACC">
        <w:t> </w:t>
      </w:r>
      <w:r>
        <w:t>: Service</w:t>
      </w:r>
      <w:r w:rsidR="00E5039A">
        <w:t>s</w:t>
      </w:r>
      <w:r w:rsidR="001E0B78">
        <w:t xml:space="preserve"> backend</w:t>
      </w:r>
      <w:bookmarkEnd w:id="230"/>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1" w:name="_Toc241922514"/>
      <w:commentRangeStart w:id="232"/>
      <w:commentRangeStart w:id="233"/>
      <w:r>
        <w:t>PBS-3</w:t>
      </w:r>
      <w:r w:rsidR="00064ACC">
        <w:t> </w:t>
      </w:r>
      <w:r>
        <w:t>: Données</w:t>
      </w:r>
      <w:bookmarkEnd w:id="231"/>
      <w:commentRangeEnd w:id="232"/>
      <w:r w:rsidR="00960C7C">
        <w:rPr>
          <w:rStyle w:val="Marquedecommentaire"/>
          <w:sz w:val="24"/>
          <w:szCs w:val="24"/>
        </w:rPr>
        <w:commentReference w:id="232"/>
      </w:r>
      <w:commentRangeEnd w:id="233"/>
      <w:r>
        <w:rPr>
          <w:rStyle w:val="Marquedecommentaire"/>
          <w:sz w:val="24"/>
          <w:szCs w:val="24"/>
        </w:rPr>
        <w:commentReference w:id="233"/>
      </w:r>
    </w:p>
    <w:p w14:paraId="759F9EE0" w14:textId="43CF6976" w:rsidR="00ED63DA" w:rsidRDefault="001620F6" w:rsidP="001620F6">
      <w:pPr>
        <w:jc w:val="both"/>
        <w:rPr>
          <w:b/>
          <w:bCs/>
        </w:rPr>
      </w:pPr>
      <w:r w:rsidRPr="001620F6">
        <w:rPr>
          <w:b/>
          <w:bCs/>
        </w:rPr>
        <w:t xml:space="preserve">PBS-3.1 PostgreSQL </w:t>
      </w:r>
      <w:r w:rsidRPr="00F2045F">
        <w:t xml:space="preserve">: </w:t>
      </w:r>
      <w:r>
        <w:t>toutes les données métier, selon le §4.4</w:t>
      </w:r>
      <w:r w:rsidRPr="001620F6">
        <w:t xml:space="preserve"> ; la seule source de vérité.</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 xml:space="preserve">ingress, les secrets et les volumes, et permet de substituer aux composants </w:t>
      </w:r>
      <w:r w:rsidR="002A5F10" w:rsidRPr="002A5F10">
        <w:lastRenderedPageBreak/>
        <w:t>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lastRenderedPageBreak/>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lastRenderedPageBreak/>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F6F9F78"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6DE48086"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 xml:space="preserve">y installer sans imposer les siens, et les </w:t>
            </w:r>
            <w:r w:rsidRPr="00C20E68">
              <w:rPr>
                <w:sz w:val="20"/>
                <w:szCs w:val="20"/>
              </w:rPr>
              <w:lastRenderedPageBreak/>
              <w:t>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lastRenderedPageBreak/>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22"/>
        <w:gridCol w:w="1618"/>
        <w:gridCol w:w="1961"/>
        <w:gridCol w:w="2557"/>
        <w:gridCol w:w="2204"/>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lastRenderedPageBreak/>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3333BE4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clés publiques, API d’administration</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73B90F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lastRenderedPageBreak/>
        <w:t>Cache</w:t>
      </w:r>
      <w:bookmarkEnd w:id="255"/>
    </w:p>
    <w:p w14:paraId="1D3E24EC" w14:textId="668C559F" w:rsidR="00522FA9" w:rsidRDefault="00022B4F" w:rsidP="00DA3420">
      <w:pPr>
        <w:jc w:val="both"/>
      </w:pPr>
      <w:r w:rsidRPr="00022B4F">
        <w:t>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0DB8FE24"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t>
            </w:r>
            <w:r w:rsidRPr="00064ACC">
              <w:lastRenderedPageBreak/>
              <w:t xml:space="preserve">(WF-ADM-0010), </w:t>
            </w:r>
            <w:r>
              <w:t>un unique compte administrateur local, créé dans le fournisseur d'identité et dans Waterfall, dont le mot de passe est fixé à sa première connexion</w:t>
            </w:r>
            <w:r w:rsidRPr="00064ACC">
              <w:t xml:space="preserve">,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 xml:space="preserve">Une mise à jour de la version N à la version N+1 s'exécute sans qu'aucune requête n'échoue et sans qu'aucun utilisateur ne soit déconnecté. L'écran d'état affiche la même version pour </w:t>
            </w:r>
            <w:r w:rsidRPr="005F33A3">
              <w:rPr>
                <w:sz w:val="20"/>
                <w:szCs w:val="20"/>
              </w:rPr>
              <w:lastRenderedPageBreak/>
              <w:t>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98"/>
        <w:gridCol w:w="3233"/>
        <w:gridCol w:w="393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lastRenderedPageBreak/>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w:t>
            </w:r>
            <w:r w:rsidR="00F24C97" w:rsidRPr="00F24C97">
              <w:rPr>
                <w:sz w:val="20"/>
                <w:szCs w:val="20"/>
              </w:rPr>
              <w:lastRenderedPageBreak/>
              <w:t>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lastRenderedPageBreak/>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lastRenderedPageBreak/>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lastRenderedPageBreak/>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lastRenderedPageBreak/>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w:t>
            </w:r>
            <w:r w:rsidRPr="00F90762">
              <w:lastRenderedPageBreak/>
              <w:t>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un utilisateur habilité.</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w:t>
      </w:r>
      <w:r w:rsidRPr="005D3130">
        <w:lastRenderedPageBreak/>
        <w:t>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lastRenderedPageBreak/>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lastRenderedPageBreak/>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Un objectif de temps de réponse qu'on ne mesure pas est un vœu, et une mesure qu'on ne compare pas ne dit pas si l'on s'améliore ou si l'on glisse. Le seuil de non-régression protège du glissement lent, celui qui passe inaperçu version après version jusqu'à rendre une grille </w:t>
            </w:r>
            <w:r w:rsidRPr="005F1CB3">
              <w:rPr>
                <w:sz w:val="20"/>
                <w:szCs w:val="20"/>
              </w:rPr>
              <w:lastRenderedPageBreak/>
              <w:t>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 xml:space="preserve">des taux horaires annuels. Chaque rôle de ressource relève </w:t>
            </w:r>
            <w:r w:rsidRPr="00491BB4">
              <w:lastRenderedPageBreak/>
              <w:t>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r>
              <w:t xml:space="preserve"> Chaque inscription porte une qualité, chef de projet ou contributeur.</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lastRenderedPageBreak/>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lastRenderedPageBreak/>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la révision marquée qui fait foi pour le budget de référence, les dates contractuelles et la valeur planifiée. Ce caractère est un attribut de la révision : il passe à une nouvelle révision à chaque avenant contractualisé et à chaque risque survenu.</w:t>
            </w:r>
          </w:p>
        </w:tc>
      </w:tr>
      <w:tr w:rsidR="00577C87" w14:paraId="62DB15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F04BF4">
              <w:t xml:space="preserve">Désigne un arbre de tâches portant des lignes de devis. Sa nature indique ce qu'elle décrit : la structure principale du projet, le différentiel d'un avenant, ou le devis propre à un </w:t>
            </w:r>
            <w:r w:rsidRPr="00F04BF4">
              <w:lastRenderedPageBreak/>
              <w:t>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lastRenderedPageBreak/>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20"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32"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3"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10059CE7"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03225BBA" w15:done="1"/>
  <w15:commentEx w15:paraId="132EC4FD" w15:done="1"/>
  <w15:commentEx w15:paraId="0C97C8C7"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05A7" w14:textId="77777777" w:rsidR="004E3ABD" w:rsidRDefault="004E3ABD" w:rsidP="00FA4402">
      <w:pPr>
        <w:spacing w:after="0" w:line="240" w:lineRule="auto"/>
      </w:pPr>
      <w:r>
        <w:separator/>
      </w:r>
    </w:p>
  </w:endnote>
  <w:endnote w:type="continuationSeparator" w:id="0">
    <w:p w14:paraId="293DDF63" w14:textId="77777777" w:rsidR="004E3ABD" w:rsidRDefault="004E3AB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BF8C" w14:textId="77777777" w:rsidR="004E3ABD" w:rsidRDefault="004E3ABD" w:rsidP="00FA4402">
      <w:pPr>
        <w:spacing w:after="0" w:line="240" w:lineRule="auto"/>
      </w:pPr>
      <w:r>
        <w:separator/>
      </w:r>
    </w:p>
  </w:footnote>
  <w:footnote w:type="continuationSeparator" w:id="0">
    <w:p w14:paraId="31E17854" w14:textId="77777777" w:rsidR="004E3ABD" w:rsidRDefault="004E3AB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63980</Words>
  <Characters>332058</Characters>
  <Application>Microsoft Office Word</Application>
  <DocSecurity>0</DocSecurity>
  <Lines>9766</Lines>
  <Paragraphs>6492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389546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257</cp:revision>
  <dcterms:created xsi:type="dcterms:W3CDTF">2026-09-17T06:51:00Z</dcterms:created>
  <dcterms:modified xsi:type="dcterms:W3CDTF">2026-10-03T20:02:00Z</dcterms:modified>
</cp:coreProperties>
</file>