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w:t>
        </w:r>
        <w:r w:rsidRPr="00A80ACC">
          <w:rPr>
            <w:rStyle w:val="Lienhypertexte"/>
            <w:noProof/>
          </w:rPr>
          <w:t>c</w:t>
        </w:r>
        <w:r w:rsidRPr="00A80ACC">
          <w:rPr>
            <w:rStyle w:val="Lienhypertexte"/>
            <w:noProof/>
          </w:rPr>
          <w:t>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lastRenderedPageBreak/>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est pris en compte de la même façon qu’un risque survenu : il donne lieu à une nouvelle révision de référence, qui déplace le budget et les jalons contractuels sans effacer l’historique.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64EE3203"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2F03D556"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6E78428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lastRenderedPageBreak/>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4228ED23"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t>Le sous-projet d’une ligne est celui de l’onglet qui la porte, le format plaçant chaque sous-projet dans un onglet.</w:t>
            </w:r>
            <w:commentRangeEnd w:id="33"/>
            <w:r w:rsidR="00702687" w:rsidRPr="00800819">
              <w:rPr>
                <w:rStyle w:val="Marquedecommentaire"/>
                <w:sz w:val="24"/>
                <w:szCs w:val="24"/>
              </w:rPr>
              <w:commentReference w:id="33"/>
            </w:r>
            <w:r w:rsidRPr="00800819">
              <w:t xml:space="preserve">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lastRenderedPageBreak/>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w:t>
            </w:r>
            <w:r w:rsidRPr="009308D3">
              <w:rPr>
                <w:sz w:val="20"/>
                <w:szCs w:val="20"/>
              </w:rPr>
              <w:lastRenderedPageBreak/>
              <w:t>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lastRenderedPageBreak/>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lastRenderedPageBreak/>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w:t>
      </w:r>
      <w:r w:rsidRPr="0010467F">
        <w:lastRenderedPageBreak/>
        <w:t xml:space="preserve">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xml:space="preserve">: les années suivantes sont </w:t>
      </w:r>
      <w:r w:rsidRPr="0010467F">
        <w:lastRenderedPageBreak/>
        <w:t>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t>Deux découpages sans lien entre eux.</w:t>
      </w:r>
    </w:p>
    <w:p w14:paraId="0D6CF508" w14:textId="7B9CFFC9"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récapitulative qui les porte,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575DB8BC"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 xml:space="preserve">Cette liste est une donnée du projet, comme son lotissement, et c’est elle qui dit qui participe à cette affaire et peut l’ouvrir, là où les rôles </w:t>
      </w:r>
      <w:r>
        <w:lastRenderedPageBreak/>
        <w:t>d’habilitation disent ce qu’un utilisateur a le droit de faire ; chacun y est inscrit comme chef de projet ou comme contributeur,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18C995D3" w:rsidR="00A01853" w:rsidRPr="00A01853" w:rsidRDefault="00A01853" w:rsidP="00A01853">
      <w:pPr>
        <w:jc w:val="both"/>
      </w:pPr>
      <w:commentRangeStart w:id="63"/>
      <w:commentRangeStart w:id="64"/>
      <w:r>
        <w:rPr>
          <w:b/>
          <w:bCs/>
        </w:rPr>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65"/>
      <w:r w:rsidR="00D038D6" w:rsidRPr="00A01853">
        <w:rPr>
          <w:rStyle w:val="Marquedecommentaire"/>
          <w:sz w:val="24"/>
          <w:szCs w:val="24"/>
        </w:rPr>
        <w:commentReference w:id="65"/>
      </w:r>
      <w:r w:rsidRPr="00A01853">
        <w:t>Le budget de référence est la somme des montants budgétés</w:t>
      </w:r>
      <w:r w:rsidR="00064ACC">
        <w:t> </w:t>
      </w:r>
      <w:r w:rsidRPr="00A01853">
        <w:t xml:space="preserve">; le reste à engager se calcule sur les montants réestimés. </w:t>
      </w:r>
      <w:r>
        <w:t>Une ligne ajoutée après la référence — tâche non anticipée — porte un montant budgété nul : elle pèse sur le reste à engager, jamais sur le budget. Les lignes issues d’un risque survenu portent, elles, la provision du risque, répartie entre elles (WF-RIS-0060).</w:t>
      </w:r>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rsidRPr="00A01853">
        <w:t xml:space="preserv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xml:space="preserve">: </w:t>
      </w:r>
      <w:r w:rsidRPr="00C47F4B">
        <w:lastRenderedPageBreak/>
        <w:t>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lastRenderedPageBreak/>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del w:id="291" w:author="Claude" w:date="2026-10-03T20:00:08Z">
              <w:r w:rsidRPr="00AB05EB">
                <w:delText>Une sortie manuelle n</w:delText>
              </w:r>
              <w:r w:rsidR="00064ACC">
                <w:delText>’</w:delText>
              </w:r>
              <w:r w:rsidRPr="00AB05EB">
                <w:delText>est appliquée qu</w:delText>
              </w:r>
              <w:r w:rsidR="00064ACC">
                <w:delText>’</w:delText>
              </w:r>
              <w:r w:rsidRPr="00AB05EB">
                <w:delText>après une confirmation qui énonce son caractère définitif et ce qu</w:delText>
              </w:r>
              <w:r w:rsidR="00064ACC">
                <w:delText>’</w:delText>
              </w:r>
              <w:r w:rsidRPr="00AB05EB">
                <w:delText>elle rend non modifiable.</w:delText>
              </w:r>
            </w:del>
            <w:ins w:id="292" w:author="Claude" w:date="2026-10-03T20:00:08Z">
              <w:r>
                <w:t xml:space="preserve">Une sortie manuelle n’est appliquée qu’après une confirmation qui énonce son caractère définitif et ce qu’elle rend non modifiable. La confirmation propose la saisie d’un motif, facultatif, que la transition conserve (WF-CYC-0130).</w:t>
              </w:r>
            </w:ins>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del w:id="293" w:author="Claude" w:date="2026-10-03T20:00:08Z">
              <w:r w:rsidRPr="004C7554">
                <w:rPr>
                  <w:sz w:val="20"/>
                  <w:szCs w:val="20"/>
                </w:rPr>
                <w:delText>La confirmation nomme l</w:delText>
              </w:r>
              <w:r w:rsidR="00064ACC">
                <w:rPr>
                  <w:sz w:val="20"/>
                  <w:szCs w:val="20"/>
                </w:rPr>
                <w:delText>’</w:delText>
              </w:r>
              <w:r w:rsidRPr="004C7554">
                <w:rPr>
                  <w:sz w:val="20"/>
                  <w:szCs w:val="20"/>
                </w:rPr>
                <w:delText>état visé, son motif, et le passage en lecture seule du projet et de toutes ses données.</w:delText>
              </w:r>
            </w:del>
            <w:ins w:id="294" w:author="Claude" w:date="2026-10-03T20:00:08Z">
              <w:r>
                <w:rPr>
                  <w:sz w:val="20"/>
                  <w:szCs w:val="20"/>
                </w:rPr>
                <w:t xml:space="preserve">La confirmation nomme l’état visé et le passage en lecture seule du projet et de toutes ses données, et propose la saisie d’un motif ; une sortie confirmée sans motif est appliquée.</w:t>
              </w:r>
            </w:ins>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del w:id="295" w:author="Claude" w:date="2026-10-03T20:00:08Z">
              <w:r w:rsidRPr="00D342F4">
                <w:delText>Chaque transition d</w:delText>
              </w:r>
              <w:r w:rsidR="00064ACC">
                <w:delText>’</w:delText>
              </w:r>
              <w:r w:rsidRPr="00D342F4">
                <w:delText>état d</w:delText>
              </w:r>
              <w:r w:rsidR="00064ACC">
                <w:delText>’</w:delText>
              </w:r>
              <w:r w:rsidRPr="00D342F4">
                <w:delText>un projet est datée du jour où elle se produit, et l</w:delText>
              </w:r>
              <w:r w:rsidR="00064ACC">
                <w:delText>’</w:delText>
              </w:r>
              <w:r w:rsidRPr="00D342F4">
                <w:delText>historique de ses états est consultable depuis le projet. Ces dates ne sont pas modifiables.</w:delText>
              </w:r>
            </w:del>
            <w:ins w:id="296" w:author="Claude" w:date="2026-10-03T20:00:08Z">
              <w:r>
                <w:t xml:space="preserve">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ins>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ins w:id="297" w:author="Claude" w:date="2026-10-03T20:00:08Z">
              <w:r>
                <w:rPr>
                  <w:sz w:val="20"/>
                  <w:szCs w:val="20"/>
                </w:rPr>
                <w:t xml:space="preserve"> Une sortie à Perdu confirmée avec un motif présente ce motif dans l’historique ; une transition automatique n’en porte aucun.</w:t>
              </w:r>
            </w:ins>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lastRenderedPageBreak/>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1AB00E08" w:rsidR="00B12356" w:rsidRDefault="00C32A09" w:rsidP="004C7554">
      <w:pPr>
        <w:keepNext/>
        <w:jc w:val="center"/>
      </w:pPr>
      <w:r>
        <w:rPr>
          <w:noProof/>
        </w:rPr>
        <w:lastRenderedPageBreak/>
        <w:drawing>
          <wp:inline distT="0" distB="0" distL="0" distR="0" wp14:anchorId="4E0DBB70" wp14:editId="32AB7D39">
            <wp:extent cx="5760720" cy="3593465"/>
            <wp:effectExtent l="0" t="0" r="0" b="6985"/>
            <wp:docPr id="19617950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6A03DBA1"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t>Il porte en outre son origine : compte local, compte de l’annuaire d’entreprise, ou compte venu d’un fournisseur d’identité externe (WF-ADM-0180).</w:t>
            </w:r>
            <w:r w:rsidRPr="0051305A">
              <w:t>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w:t>
            </w:r>
            <w:r>
              <w:lastRenderedPageBreak/>
              <w:t>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47C4BFC4"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 xml:space="preserve">Un compte créé par un administrateur ne peut pas se connecter avant que son porteur n'ait fixé son mot de passe par le lien reçu. </w:t>
            </w:r>
            <w:r>
              <w:rPr>
                <w:sz w:val="20"/>
                <w:szCs w:val="20"/>
              </w:rPr>
              <w:t>Aucun écran de Waterfall ne demande, n’affiche ni ne permet de saisir un mot de passe.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lastRenderedPageBreak/>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lastRenderedPageBreak/>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31374F3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xml:space="preserve">: marquer une révision, désigner la révision de référence, déclarer une sortie du cycle de vie, déclarer un risque survenu, </w:t>
            </w:r>
            <w:r>
              <w:t>exclure une ligne de coût du périmètre suivi, restaurer la plateforme, et la permission de consulter tous les projets (WF-PRJ-0060).</w:t>
            </w:r>
            <w:r w:rsidRPr="00D342F4">
              <w:t xml:space="preserv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0545A85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contributeur ce qu’il peut y décider.</w:t>
            </w:r>
            <w:r w:rsidRPr="00E14B63">
              <w:rPr>
                <w:sz w:val="20"/>
                <w:szCs w:val="20"/>
              </w:rPr>
              <w:t xml:space="preserv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w:t>
            </w:r>
            <w:r>
              <w:rPr>
                <w:sz w:val="20"/>
                <w:szCs w:val="20"/>
              </w:rPr>
              <w:lastRenderedPageBreak/>
              <w:t>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lastRenderedPageBreak/>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lastRenderedPageBreak/>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le calendrier des décaissements, ainsi que la santé du pilotage lui-même.</w:t>
      </w:r>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lastRenderedPageBreak/>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lastRenderedPageBreak/>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r>
              <w:t xml:space="preserve">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lastRenderedPageBreak/>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lastRenderedPageBreak/>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 xml:space="preserve">en discuter au bon niveau. Le rapport entre provisions </w:t>
            </w:r>
            <w:r w:rsidRPr="00F9063F">
              <w:rPr>
                <w:sz w:val="20"/>
                <w:szCs w:val="20"/>
              </w:rPr>
              <w:lastRenderedPageBreak/>
              <w:t>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t xml:space="preserve">FBS-2.6 : </w:t>
      </w:r>
      <w:r w:rsidR="006A1085" w:rsidRPr="006A1085">
        <w:t>Décaissements du portefeuille</w:t>
      </w:r>
      <w:bookmarkEnd w:id="118"/>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xml:space="preserve">; et les </w:t>
            </w:r>
            <w:r w:rsidRPr="007E121A">
              <w:lastRenderedPageBreak/>
              <w:t>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lastRenderedPageBreak/>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lastRenderedPageBreak/>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 xml:space="preserve">en sert </w:t>
            </w:r>
            <w:r w:rsidRPr="00A01853">
              <w:rPr>
                <w:sz w:val="20"/>
                <w:szCs w:val="20"/>
              </w:rPr>
              <w:lastRenderedPageBreak/>
              <w:t>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lastRenderedPageBreak/>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lastRenderedPageBreak/>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lastRenderedPageBreak/>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lastRenderedPageBreak/>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lastRenderedPageBreak/>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w:t>
            </w:r>
            <w:r w:rsidRPr="00F637D7">
              <w:lastRenderedPageBreak/>
              <w:t>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3"/>
      <w:r>
        <w:t>Il ne conditionne ni le chiffrage ni le pilotage, qui se font sans lui ; il structure en revanche le fichier de devis de l’annexe B, qui présente une synthèse puis un onglet par lot.</w:t>
      </w:r>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lastRenderedPageBreak/>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lastRenderedPageBreak/>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48F23141"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commentRangeStart w:id="147"/>
            <w:commentRangeEnd w:id="147"/>
            <w:r w:rsidR="003D3218">
              <w:rPr>
                <w:rStyle w:val="Marquedecommentaire"/>
                <w:sz w:val="24"/>
                <w:szCs w:val="24"/>
              </w:rPr>
              <w:commentReference w:id="147"/>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1E2FB1B1"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w:t>
            </w:r>
            <w:r w:rsidRPr="00D91645">
              <w:lastRenderedPageBreak/>
              <w:t>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w:t>
            </w:r>
            <w:r>
              <w:t xml:space="preserve">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540B2A5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lastRenderedPageBreak/>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w:t>
            </w:r>
            <w:r w:rsidR="003D3218">
              <w:t> :</w:t>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lastRenderedPageBreak/>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mode de planification</w:t>
            </w:r>
          </w:p>
          <w:p w14:paraId="30EA8AC1" w14:textId="5533FD09"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commentRangeStart w:id="154"/>
            <w:r>
              <w:t>et un état — non démarrée, démarrée, terminée</w:t>
            </w:r>
            <w:commentRangeEnd w:id="154"/>
            <w:r w:rsidR="001457C4" w:rsidRPr="003D3218">
              <w:rPr>
                <w:rStyle w:val="Marquedecommentaire"/>
                <w:sz w:val="24"/>
                <w:szCs w:val="24"/>
              </w:rPr>
              <w:commentReference w:id="154"/>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 xml:space="preserve">son appartenance au chemin critique (WF-PLA-0100), </w:t>
            </w:r>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pour une récapitulative, son avancement physique (WF-IND-0060).</w:t>
            </w:r>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lastRenderedPageBreak/>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66"/>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66"/>
            <w:r w:rsidR="00A04C5A" w:rsidRPr="008261BF">
              <w:rPr>
                <w:rStyle w:val="Marquedecommentaire"/>
                <w:sz w:val="24"/>
                <w:szCs w:val="24"/>
              </w:rPr>
              <w:commentReference w:id="166"/>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 xml:space="preserve">œuvre, elle </w:t>
            </w:r>
            <w:r w:rsidRPr="008261BF">
              <w:lastRenderedPageBreak/>
              <w:t>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lastRenderedPageBreak/>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04CD79FD"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à l’année de référence et son montant corrigé de l’inflation (WF-DEV-0040)</w:t>
            </w:r>
            <w:r w:rsidRPr="0085639B">
              <w: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ni montant budgété ni montant réestimé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22E391"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des heures travaillées de la tâche dans chaque année, sur son calendrier applicable (WF-PLA-0010)</w:t>
            </w:r>
            <w:r w:rsidRPr="00C67E2D">
              <w:t>,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14039C36"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de la tâche dans chacune</w:t>
            </w:r>
            <w:r w:rsidRPr="00C67E2D">
              <w:rPr>
                <w:sz w:val="20"/>
                <w:szCs w:val="20"/>
              </w:rPr>
              <w:t>.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5C81880D"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provisions des risques identifiés —</w:t>
            </w:r>
            <w:r w:rsidRPr="008261BF">
              <w:t xml:space="preserve">, à leur montant budgété, </w:t>
            </w:r>
            <w:r>
              <w:t>étalé sur la durée de leur tâche au prorata des heures travaillées — sur le calendrier de son rôle pour une ligne de main-d’œuvre, sur le calendrier applicable de la tâche sinon —</w:t>
            </w:r>
            <w:r w:rsidRPr="008261BF">
              <w:t xml:space="preserv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4BEABABE"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 xml:space="preserve">on rouvre. </w:t>
            </w:r>
            <w:r>
              <w:t>Les lignes des tâches démarrées sont exposées par défaut à la réestimation du reste à engager ; celles des tâches non démarrées le sont à la demande (WF-RAE-0040).</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CE9B113"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87"/>
            <w:r w:rsidR="005D10AC">
              <w:rPr>
                <w:rStyle w:val="Marquedecommentaire"/>
                <w:sz w:val="24"/>
                <w:szCs w:val="24"/>
              </w:rPr>
              <w:commentReference w:id="187"/>
            </w:r>
            <w:r>
              <w:t xml:space="preserve"> La grille présente la date de fin de chaque tâche, sans la rendre saisissable, et signale les tâches démarrées dont la fin est antérieure à la date de calcul.</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r>
              <w:rPr>
                <w:sz w:val="20"/>
                <w:szCs w:val="20"/>
              </w:rPr>
              <w:t xml:space="preserv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 xml:space="preserve">entrent pas </w:t>
            </w:r>
            <w:r w:rsidRPr="0028209B">
              <w:lastRenderedPageBreak/>
              <w:t>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625E9A05">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lastRenderedPageBreak/>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lastRenderedPageBreak/>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6ABB19C9"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t>portée par les lignes issues de son devis propre (WF-RIS-0060)</w:t>
            </w:r>
            <w:commentRangeStart w:id="192"/>
            <w:commentRangeEnd w:id="192"/>
            <w:r w:rsidR="00DA6262" w:rsidRPr="00432A02">
              <w:rPr>
                <w:rStyle w:val="Marquedecommentaire"/>
                <w:sz w:val="24"/>
                <w:szCs w:val="24"/>
              </w:rPr>
              <w:commentReference w:id="192"/>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6A23BAD1"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t>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t>
            </w:r>
            <w:commentRangeStart w:id="193"/>
            <w:commentRangeEnd w:id="193"/>
            <w:r w:rsidR="00DA6262">
              <w:rPr>
                <w:rStyle w:val="Marquedecommentaire"/>
                <w:sz w:val="24"/>
                <w:szCs w:val="24"/>
              </w:rPr>
              <w:commentReference w:id="193"/>
            </w:r>
            <w:r w:rsidR="005F15F0">
              <w:t xml:space="preserve"> </w:t>
            </w:r>
            <w:r w:rsidRPr="002C02EC">
              <w:t>La révision marquée qui en résulte devient la révision de référence.</w:t>
            </w:r>
            <w:commentRangeStart w:id="194"/>
            <w:commentRangeEnd w:id="194"/>
            <w:r w:rsidR="00DA6262">
              <w:rPr>
                <w:rStyle w:val="Marquedecommentaire"/>
                <w:sz w:val="24"/>
                <w:szCs w:val="24"/>
              </w:rPr>
              <w:commentReference w:id="194"/>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197139A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w:t>
            </w:r>
            <w:r w:rsidRPr="002F6CD9">
              <w:rPr>
                <w:sz w:val="20"/>
                <w:szCs w:val="20"/>
              </w:rPr>
              <w:lastRenderedPageBreak/>
              <w:t>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lastRenderedPageBreak/>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lastRenderedPageBreak/>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t>Le diagramme temps/temps se calcule pour le seul projet : il suit des jalons, qu’un sous-projet n’a pas.</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5"/>
      <w:commentRangeEnd w:id="205"/>
      <w:r w:rsidR="00BE1A0D" w:rsidRPr="000F327F">
        <w:rPr>
          <w:rStyle w:val="Marquedecommentaire"/>
          <w:sz w:val="24"/>
          <w:szCs w:val="24"/>
        </w:rPr>
        <w:commentReference w:id="205"/>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r>
              <w:t xml:space="preserve">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5" w:name="_Toc241922501"/>
      <w:r>
        <w:t>Interactions entre fonctions</w:t>
      </w:r>
      <w:bookmarkEnd w:id="215"/>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6" w:name="_Toc241922502"/>
      <w:r>
        <w:t>Arbre commun</w:t>
      </w:r>
      <w:bookmarkEnd w:id="216"/>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lastRenderedPageBreak/>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7" w:name="_Toc241922503"/>
      <w:r>
        <w:t>Flux de travail principal</w:t>
      </w:r>
      <w:bookmarkEnd w:id="217"/>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18" w:name="_Toc241948367"/>
      <w:r>
        <w:t xml:space="preserve">Figure </w:t>
      </w:r>
      <w:fldSimple w:instr=" SEQ Figure \* ARABIC ">
        <w:r>
          <w:rPr>
            <w:noProof/>
          </w:rPr>
          <w:t>16</w:t>
        </w:r>
      </w:fldSimple>
      <w:r>
        <w:t xml:space="preserve"> Flux de travail principal</w:t>
      </w:r>
      <w:bookmarkEnd w:id="218"/>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lastRenderedPageBreak/>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219" w:name="_Toc241922504"/>
      <w:commentRangeStart w:id="220"/>
      <w:r w:rsidRPr="00DC3E7E">
        <w:t>Principes d'interface</w:t>
      </w:r>
      <w:bookmarkEnd w:id="219"/>
      <w:commentRangeEnd w:id="220"/>
      <w:r w:rsidR="00314927">
        <w:rPr>
          <w:rStyle w:val="Marquedecommentaire"/>
          <w:sz w:val="32"/>
          <w:szCs w:val="32"/>
        </w:rPr>
        <w:commentReference w:id="220"/>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lastRenderedPageBreak/>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41D9D8DE"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Une grille se trie sur chacune de ses colonnes et </w:t>
            </w:r>
            <w:r>
              <w:t>se filtre sur chacune de ses colonnes (WF-IHM-0130)</w:t>
            </w:r>
            <w:r w:rsidRPr="00613D98">
              <w:t xml:space="preserve">. L'utilisateur choisit les colonnes visibles et leur largeur. Pendant le défilement vertical, les totaux et les en-têtes restent visibles ; pendant le défilement horizontal, les colonnes qui identifient la ligne </w:t>
            </w:r>
            <w:r w:rsidRPr="00613D98">
              <w:lastRenderedPageBreak/>
              <w:t>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Le marquage d'une révision de dix mille objets laisse l'écran utilisable et présente son avancement. Un utilisateur qui change d'écran pendant un import est informé de son </w:t>
            </w:r>
            <w:r w:rsidRPr="00613D98">
              <w:rPr>
                <w:sz w:val="20"/>
                <w:szCs w:val="20"/>
              </w:rPr>
              <w:lastRenderedPageBreak/>
              <w:t>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w:t>
            </w:r>
            <w:r>
              <w:lastRenderedPageBreak/>
              <w:t>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21" w:name="_Toc241922505"/>
      <w:r>
        <w:lastRenderedPageBreak/>
        <w:t>Architecture technique</w:t>
      </w:r>
      <w:bookmarkEnd w:id="221"/>
    </w:p>
    <w:p w14:paraId="35CDABC1" w14:textId="47D489BB" w:rsidR="00DB7960" w:rsidRDefault="00340FF5" w:rsidP="00496905">
      <w:pPr>
        <w:pStyle w:val="Titre2"/>
        <w:numPr>
          <w:ilvl w:val="1"/>
          <w:numId w:val="4"/>
        </w:numPr>
      </w:pPr>
      <w:bookmarkStart w:id="222" w:name="_Toc241922506"/>
      <w:r>
        <w:t>Principes d’architecture</w:t>
      </w:r>
      <w:bookmarkEnd w:id="222"/>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3" w:name="_Toc241922507"/>
      <w:r w:rsidRPr="0028653E">
        <w:t>Le contrat fait foi</w:t>
      </w:r>
      <w:bookmarkEnd w:id="223"/>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4" w:name="_Toc241922508"/>
      <w:r w:rsidRPr="0028653E">
        <w:t>Le serveur est l</w:t>
      </w:r>
      <w:r w:rsidR="00064ACC">
        <w:t>’</w:t>
      </w:r>
      <w:r w:rsidRPr="0028653E">
        <w:t>autorité</w:t>
      </w:r>
      <w:bookmarkEnd w:id="22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5" w:name="_Toc241922509"/>
      <w:r w:rsidRPr="0028653E">
        <w:t>Les services sont sans état</w:t>
      </w:r>
      <w:bookmarkEnd w:id="225"/>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6" w:name="_Toc241922510"/>
      <w:r>
        <w:t>Découpage technique</w:t>
      </w:r>
      <w:bookmarkEnd w:id="226"/>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7" w:name="_Toc241922511"/>
      <w:r>
        <w:t>Arborescence produit</w:t>
      </w:r>
      <w:bookmarkEnd w:id="227"/>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28" w:name="_Toc241948368"/>
      <w:r>
        <w:t xml:space="preserve">Figure </w:t>
      </w:r>
      <w:fldSimple w:instr=" SEQ Figure \* ARABIC ">
        <w:r w:rsidR="005B32AA">
          <w:rPr>
            <w:noProof/>
          </w:rPr>
          <w:t>17</w:t>
        </w:r>
      </w:fldSimple>
      <w:r>
        <w:t xml:space="preserve"> Arborescence produit</w:t>
      </w:r>
      <w:bookmarkEnd w:id="228"/>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9" w:name="_Toc241922512"/>
      <w:r>
        <w:t>PBS-1</w:t>
      </w:r>
      <w:r w:rsidR="00064ACC">
        <w:t> </w:t>
      </w:r>
      <w:r>
        <w:t>: Frontend</w:t>
      </w:r>
      <w:bookmarkEnd w:id="229"/>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0" w:name="_Toc241922513"/>
      <w:r>
        <w:t>PBS-2</w:t>
      </w:r>
      <w:r w:rsidR="00064ACC">
        <w:t> </w:t>
      </w:r>
      <w:r>
        <w:t>: Service</w:t>
      </w:r>
      <w:r w:rsidR="00E5039A">
        <w:t>s</w:t>
      </w:r>
      <w:r w:rsidR="001E0B78">
        <w:t xml:space="preserve"> backend</w:t>
      </w:r>
      <w:bookmarkEnd w:id="230"/>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1" w:name="_Toc241922514"/>
      <w:commentRangeStart w:id="232"/>
      <w:commentRangeStart w:id="233"/>
      <w:r>
        <w:t>PBS-3</w:t>
      </w:r>
      <w:r w:rsidR="00064ACC">
        <w:t> </w:t>
      </w:r>
      <w:r>
        <w:t>: Données</w:t>
      </w:r>
      <w:bookmarkEnd w:id="231"/>
      <w:commentRangeEnd w:id="233"/>
      <w:commentRangeEnd w:id="232"/>
      <w:r w:rsidR="00960C7C">
        <w:rPr>
          <w:rStyle w:val="Marquedecommentaire"/>
          <w:sz w:val="24"/>
          <w:szCs w:val="24"/>
        </w:rPr>
        <w:commentReference w:id="232"/>
      </w:r>
      <w:r>
        <w:rPr>
          <w:rStyle w:val="CommentReference"/>
        </w:rPr>
        <w:commentReference w:id="233"/>
      </w:r>
    </w:p>
    <w:p w14:paraId="759F9EE0" w14:textId="43CF6976" w:rsidR="00ED63DA" w:rsidRDefault="001620F6" w:rsidP="001620F6">
      <w:pPr>
        <w:jc w:val="both"/>
        <w:rPr>
          <w:b/>
          <w:bCs/>
        </w:rPr>
      </w:pPr>
      <w:r w:rsidRPr="001620F6">
        <w:rPr>
          <w:b/>
          <w:bCs/>
        </w:rPr>
        <w:t xml:space="preserve">PBS-3.1 PostgreSQL </w:t>
      </w:r>
      <w:r w:rsidRPr="00F2045F">
        <w:t xml:space="preserve">: </w:t>
      </w:r>
      <w:r>
        <w:t>toutes les données métier, selon le §4.4</w:t>
      </w:r>
      <w:r w:rsidRPr="001620F6">
        <w:t xml:space="preserve"> ; la seule source de vérité.</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pPr>
        <w:jc w:val="both"/>
        <w:rPr>
          <w:ins w:id="289" w:author="Claude" w:date="2026-10-03T19:58:07Z"/>
        </w:rPr>
      </w:pPr>
      <w:ins w:id="290" w:author="Claude" w:date="2026-10-03T19:58:07Z">
        <w:r>
          <w:rPr>
            <w:b/>
          </w:rPr>
          <w:t xml:space="preserve">PBS-3.3 Stockage objet S3</w:t>
        </w:r>
        <w:r>
          <w:rPr/>
          <w:t xml:space="preserve"> : le stockage objet compatible S3 qui reçoit les fichiers en transit pendant un import, supprimés à l’application ou à l’expiration (WF-ARC-0100), et les sauvegardes (WF-ADM-0150) ; c’est de lui qu’elles se copient hors de la plateforme.</w:t>
        </w:r>
      </w:ins>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3" w:name="_Toc241922515"/>
      <w:r>
        <w:t>PBS-4</w:t>
      </w:r>
      <w:r w:rsidR="00064ACC">
        <w:t> </w:t>
      </w:r>
      <w:r>
        <w:t>: Observabilité</w:t>
      </w:r>
      <w:bookmarkEnd w:id="233"/>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4" w:name="_Toc241922516"/>
      <w:r>
        <w:t>PBS-5</w:t>
      </w:r>
      <w:r w:rsidR="00064ACC">
        <w:t> </w:t>
      </w:r>
      <w:r>
        <w:t>: Plateforme</w:t>
      </w:r>
      <w:bookmarkEnd w:id="234"/>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lastRenderedPageBreak/>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5" w:name="_Toc241922517"/>
      <w:r>
        <w:t>Allocation des fonctions</w:t>
      </w:r>
      <w:bookmarkEnd w:id="235"/>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lastRenderedPageBreak/>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6" w:name="_Toc241403429"/>
      <w:r>
        <w:t xml:space="preserve">Tableau </w:t>
      </w:r>
      <w:fldSimple w:instr=" SEQ Tableau \* ARABIC ">
        <w:r w:rsidR="004E6894">
          <w:rPr>
            <w:noProof/>
          </w:rPr>
          <w:t>6</w:t>
        </w:r>
      </w:fldSimple>
      <w:r>
        <w:t xml:space="preserve"> Correspondances FBS </w:t>
      </w:r>
      <w:r w:rsidR="00064ACC">
        <w:t>–</w:t>
      </w:r>
      <w:r>
        <w:t xml:space="preserve"> PBS</w:t>
      </w:r>
      <w:bookmarkEnd w:id="236"/>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 xml:space="preserve">interface de celui-ci, jamais par ses tables. Le noyau est exécuté par un seul </w:t>
            </w:r>
            <w:r w:rsidRPr="00BF15BC">
              <w:lastRenderedPageBreak/>
              <w:t>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lastRenderedPageBreak/>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6F6F9F78"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local, un compte de l’annuaire et un compte venu d’un fournisseur externe obtiennent chacun un jeton, et agissent selon leurs rôles dans Waterfall. Un jeton d’accès </w:t>
            </w:r>
            <w:r>
              <w:rPr>
                <w:sz w:val="20"/>
                <w:szCs w:val="20"/>
              </w:rPr>
              <w:lastRenderedPageBreak/>
              <w:t>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6DE48086"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 xml:space="preserve">un changement de </w:t>
            </w:r>
            <w:r w:rsidRPr="00C20E68">
              <w:rPr>
                <w:sz w:val="20"/>
                <w:szCs w:val="20"/>
              </w:rPr>
              <w:lastRenderedPageBreak/>
              <w:t>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7" w:name="_Toc241922518"/>
      <w:r>
        <w:t>Interactions techniques</w:t>
      </w:r>
      <w:bookmarkEnd w:id="237"/>
    </w:p>
    <w:p w14:paraId="05CC9F39" w14:textId="330CFF57" w:rsidR="0087399E" w:rsidRDefault="00340FF5" w:rsidP="00496905">
      <w:pPr>
        <w:pStyle w:val="Titre3"/>
        <w:numPr>
          <w:ilvl w:val="2"/>
          <w:numId w:val="4"/>
        </w:numPr>
      </w:pPr>
      <w:bookmarkStart w:id="238" w:name="_Toc241922519"/>
      <w:r>
        <w:t>Diagramme de déploiement</w:t>
      </w:r>
      <w:bookmarkEnd w:id="238"/>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39" w:name="_Toc241948369"/>
      <w:r>
        <w:t xml:space="preserve">Figure </w:t>
      </w:r>
      <w:fldSimple w:instr=" SEQ Figure \* ARABIC ">
        <w:r w:rsidR="005B32AA">
          <w:rPr>
            <w:noProof/>
          </w:rPr>
          <w:t>18</w:t>
        </w:r>
      </w:fldSimple>
      <w:r>
        <w:t xml:space="preserve"> Diagramme de déploiement</w:t>
      </w:r>
      <w:bookmarkEnd w:id="239"/>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0" w:name="_Toc241922520"/>
      <w:r>
        <w:t>Tableau des flux techniques</w:t>
      </w:r>
      <w:bookmarkEnd w:id="240"/>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22"/>
        <w:gridCol w:w="1618"/>
        <w:gridCol w:w="1961"/>
        <w:gridCol w:w="2557"/>
        <w:gridCol w:w="2204"/>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lastRenderedPageBreak/>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3333BE4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clés publiques, API d’administration</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4CCD5E71" w:rsidR="006D53BF" w:rsidRDefault="006D53BF" w:rsidP="006D53BF">
      <w:pPr>
        <w:pStyle w:val="Lgende"/>
      </w:pPr>
      <w:bookmarkStart w:id="241" w:name="_Toc241403430"/>
      <w:r>
        <w:t xml:space="preserve">Tableau </w:t>
      </w:r>
      <w:fldSimple w:instr=" SEQ Tableau \* ARABIC ">
        <w:r w:rsidR="004E6894">
          <w:rPr>
            <w:noProof/>
          </w:rPr>
          <w:t>7</w:t>
        </w:r>
      </w:fldSimple>
      <w:r>
        <w:t xml:space="preserve"> Tableau des flux techniques</w:t>
      </w:r>
      <w:bookmarkEnd w:id="241"/>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2" w:name="_Toc241922521"/>
      <w:r>
        <w:t>Réalisation des flux fonctionnels</w:t>
      </w:r>
      <w:bookmarkEnd w:id="242"/>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w:t>
            </w:r>
            <w:r w:rsidRPr="006D53BF">
              <w:lastRenderedPageBreak/>
              <w:t>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lastRenderedPageBreak/>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3" w:name="_Toc241403431"/>
      <w:r>
        <w:t xml:space="preserve">Tableau </w:t>
      </w:r>
      <w:fldSimple w:instr=" SEQ Tableau \* ARABIC ">
        <w:r w:rsidR="004E6894">
          <w:rPr>
            <w:noProof/>
          </w:rPr>
          <w:t>8</w:t>
        </w:r>
      </w:fldSimple>
      <w:r>
        <w:t xml:space="preserve"> Réalisation des flux fonctionnels</w:t>
      </w:r>
      <w:bookmarkEnd w:id="243"/>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4" w:name="_Toc241922522"/>
      <w:r>
        <w:t>Diagrammes de séquence</w:t>
      </w:r>
      <w:bookmarkEnd w:id="244"/>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5" w:name="_Toc241948370"/>
      <w:r>
        <w:t xml:space="preserve">Figure </w:t>
      </w:r>
      <w:fldSimple w:instr=" SEQ Figure \* ARABIC ">
        <w:r w:rsidR="005B32AA">
          <w:rPr>
            <w:noProof/>
          </w:rPr>
          <w:t>19</w:t>
        </w:r>
      </w:fldSimple>
      <w:r>
        <w:t xml:space="preserve"> Diagramme de séquence des imports</w:t>
      </w:r>
      <w:bookmarkEnd w:id="245"/>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7D70905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6" w:name="_Toc241948371"/>
      <w:r>
        <w:t xml:space="preserve">Figure </w:t>
      </w:r>
      <w:fldSimple w:instr=" SEQ Figure \* ARABIC ">
        <w:r w:rsidR="005B32AA">
          <w:rPr>
            <w:noProof/>
          </w:rPr>
          <w:t>20</w:t>
        </w:r>
      </w:fldSimple>
      <w:r>
        <w:t xml:space="preserve"> Diagramme de séquence du marquage de révision</w:t>
      </w:r>
      <w:bookmarkEnd w:id="246"/>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7" w:name="_Ref241257330"/>
      <w:bookmarkStart w:id="248" w:name="_Toc241922523"/>
      <w:r>
        <w:t>Données</w:t>
      </w:r>
      <w:bookmarkEnd w:id="247"/>
      <w:bookmarkEnd w:id="248"/>
    </w:p>
    <w:p w14:paraId="0F1EF96F" w14:textId="3E68D5C2" w:rsidR="00340FF5" w:rsidRDefault="00DD480A" w:rsidP="00496905">
      <w:pPr>
        <w:pStyle w:val="Titre3"/>
        <w:numPr>
          <w:ilvl w:val="2"/>
          <w:numId w:val="4"/>
        </w:numPr>
      </w:pPr>
      <w:bookmarkStart w:id="249" w:name="_Toc241922524"/>
      <w:r w:rsidRPr="00DD480A">
        <w:t>Modèle de données et conventions</w:t>
      </w:r>
      <w:bookmarkEnd w:id="249"/>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0" w:name="_Toc241403432"/>
      <w:r>
        <w:t xml:space="preserve">Tableau </w:t>
      </w:r>
      <w:fldSimple w:instr=" SEQ Tableau \* ARABIC ">
        <w:r w:rsidR="004E6894">
          <w:rPr>
            <w:noProof/>
          </w:rPr>
          <w:t>9</w:t>
        </w:r>
      </w:fldSimple>
      <w:r>
        <w:t xml:space="preserve"> Correspondance entre objets et tables</w:t>
      </w:r>
      <w:bookmarkEnd w:id="250"/>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1" w:name="_Toc241922525"/>
      <w:r>
        <w:t>Historisation et immuabilité des révisions</w:t>
      </w:r>
      <w:bookmarkEnd w:id="251"/>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2" w:name="_Toc241922526"/>
      <w:r>
        <w:t>Idempotence des imports</w:t>
      </w:r>
      <w:bookmarkEnd w:id="252"/>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3" w:name="_Toc241922527"/>
      <w:r>
        <w:t>Stockage des fichiers</w:t>
      </w:r>
      <w:bookmarkEnd w:id="253"/>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4" w:name="_Toc241922528"/>
      <w:r>
        <w:lastRenderedPageBreak/>
        <w:t>Cache</w:t>
      </w:r>
      <w:bookmarkEnd w:id="254"/>
    </w:p>
    <w:p w14:paraId="1D3E24EC" w14:textId="668C559F" w:rsidR="00522FA9" w:rsidRDefault="00022B4F" w:rsidP="00DA3420">
      <w:pPr>
        <w:jc w:val="both"/>
      </w:pPr>
      <w:r w:rsidRPr="00022B4F">
        <w:t>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5" w:name="_Toc241922529"/>
      <w:r>
        <w:t>Evolution du schéma</w:t>
      </w:r>
      <w:bookmarkEnd w:id="255"/>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6" w:name="_Toc241922530"/>
      <w:r>
        <w:t>Modes de fonctionnement techniques</w:t>
      </w:r>
      <w:bookmarkEnd w:id="256"/>
    </w:p>
    <w:p w14:paraId="45E0C9AB" w14:textId="4FEE718C" w:rsidR="001E0B78" w:rsidRDefault="001E0B78" w:rsidP="00496905">
      <w:pPr>
        <w:pStyle w:val="Titre3"/>
        <w:numPr>
          <w:ilvl w:val="2"/>
          <w:numId w:val="4"/>
        </w:numPr>
      </w:pPr>
      <w:bookmarkStart w:id="257" w:name="_Toc241922531"/>
      <w:r>
        <w:t>Environnement</w:t>
      </w:r>
      <w:bookmarkEnd w:id="257"/>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8" w:name="_Toc241403433"/>
      <w:r>
        <w:t xml:space="preserve">Tableau </w:t>
      </w:r>
      <w:fldSimple w:instr=" SEQ Tableau \* ARABIC ">
        <w:r w:rsidR="004E6894">
          <w:rPr>
            <w:noProof/>
          </w:rPr>
          <w:t>10</w:t>
        </w:r>
      </w:fldSimple>
      <w:r>
        <w:t xml:space="preserve"> Environnements gérés</w:t>
      </w:r>
      <w:bookmarkEnd w:id="258"/>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9" w:name="_Toc241922532"/>
      <w:r>
        <w:t>Installation initiale</w:t>
      </w:r>
      <w:bookmarkEnd w:id="259"/>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0DB8FE24"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t>
            </w:r>
            <w:r w:rsidRPr="00064ACC">
              <w:lastRenderedPageBreak/>
              <w:t xml:space="preserve">(WF-ADM-0010), </w:t>
            </w:r>
            <w:r>
              <w:t>un unique compte administrateur local, créé dans le fournisseur d'identité et dans Waterfall, dont le mot de passe est fixé à sa première connexion</w:t>
            </w:r>
            <w:r w:rsidRPr="00064ACC">
              <w:t xml:space="preserve">,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0" w:name="_Toc241922533"/>
      <w:r>
        <w:t>Déploiement et mise à jour</w:t>
      </w:r>
      <w:bookmarkEnd w:id="260"/>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 xml:space="preserve">Une mise à jour de la version N à la version N+1 s'exécute sans qu'aucune requête n'échoue et sans qu'aucun utilisateur ne soit déconnecté. L'écran d'état affiche la même version pour </w:t>
            </w:r>
            <w:r w:rsidRPr="005F33A3">
              <w:rPr>
                <w:sz w:val="20"/>
                <w:szCs w:val="20"/>
              </w:rPr>
              <w:lastRenderedPageBreak/>
              <w:t>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1" w:name="_Toc241922534"/>
      <w:r>
        <w:t>Modes dégradés</w:t>
      </w:r>
      <w:bookmarkEnd w:id="261"/>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98"/>
        <w:gridCol w:w="3233"/>
        <w:gridCol w:w="393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2" w:name="_Toc241403434"/>
      <w:r>
        <w:t xml:space="preserve">Tableau </w:t>
      </w:r>
      <w:fldSimple w:instr=" SEQ Tableau \* ARABIC ">
        <w:r w:rsidR="004E6894">
          <w:rPr>
            <w:noProof/>
          </w:rPr>
          <w:t>11</w:t>
        </w:r>
      </w:fldSimple>
      <w:r>
        <w:t xml:space="preserve"> Modes dégradés</w:t>
      </w:r>
      <w:bookmarkEnd w:id="262"/>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lastRenderedPageBreak/>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3" w:name="_Toc241922535"/>
      <w:r>
        <w:t>Exigences transverses</w:t>
      </w:r>
      <w:bookmarkEnd w:id="263"/>
    </w:p>
    <w:p w14:paraId="1FD114BD" w14:textId="52A6F5C8" w:rsidR="001E0B78" w:rsidRDefault="001E0B78" w:rsidP="00496905">
      <w:pPr>
        <w:pStyle w:val="Titre3"/>
        <w:numPr>
          <w:ilvl w:val="2"/>
          <w:numId w:val="4"/>
        </w:numPr>
      </w:pPr>
      <w:bookmarkStart w:id="264" w:name="_Toc241922536"/>
      <w:r>
        <w:t>Sécurité</w:t>
      </w:r>
      <w:bookmarkEnd w:id="264"/>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w:t>
            </w:r>
            <w:r w:rsidR="00F24C97" w:rsidRPr="00F24C97">
              <w:rPr>
                <w:sz w:val="20"/>
                <w:szCs w:val="20"/>
              </w:rPr>
              <w:lastRenderedPageBreak/>
              <w:t>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lastRenderedPageBreak/>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5" w:name="_Toc241922537"/>
      <w:r>
        <w:t>Performance et volumétrie</w:t>
      </w:r>
      <w:bookmarkEnd w:id="265"/>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lastRenderedPageBreak/>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6" w:name="_Toc241403435"/>
      <w:r>
        <w:t xml:space="preserve">Tableau </w:t>
      </w:r>
      <w:fldSimple w:instr=" SEQ Tableau \* ARABIC ">
        <w:r w:rsidR="004E6894">
          <w:rPr>
            <w:noProof/>
          </w:rPr>
          <w:t>12</w:t>
        </w:r>
      </w:fldSimple>
      <w:r>
        <w:t xml:space="preserve"> Hypothèses de volumétrie</w:t>
      </w:r>
      <w:bookmarkEnd w:id="266"/>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lastRenderedPageBreak/>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7" w:name="_Toc241403436"/>
      <w:r>
        <w:t xml:space="preserve">Tableau </w:t>
      </w:r>
      <w:fldSimple w:instr=" SEQ Tableau \* ARABIC ">
        <w:r w:rsidR="004E6894">
          <w:rPr>
            <w:noProof/>
          </w:rPr>
          <w:t>13</w:t>
        </w:r>
      </w:fldSimple>
      <w:r>
        <w:t xml:space="preserve"> Volume de données</w:t>
      </w:r>
      <w:bookmarkEnd w:id="267"/>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8" w:name="_Toc241403437"/>
      <w:r>
        <w:t xml:space="preserve">Tableau </w:t>
      </w:r>
      <w:fldSimple w:instr=" SEQ Tableau \* ARABIC ">
        <w:r w:rsidR="004E6894">
          <w:rPr>
            <w:noProof/>
          </w:rPr>
          <w:t>14</w:t>
        </w:r>
      </w:fldSimple>
      <w:r>
        <w:t xml:space="preserve"> Objectifs de temps de réponse</w:t>
      </w:r>
      <w:bookmarkEnd w:id="268"/>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9" w:name="_Toc241922538"/>
      <w:r>
        <w:t>Observabilité</w:t>
      </w:r>
      <w:bookmarkEnd w:id="269"/>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lastRenderedPageBreak/>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0" w:name="_Toc241922539"/>
      <w:r>
        <w:t>Sauvegarde et reprise</w:t>
      </w:r>
      <w:bookmarkEnd w:id="270"/>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1" w:name="_Toc241922540"/>
      <w:r>
        <w:t>Compatibilité</w:t>
      </w:r>
      <w:bookmarkEnd w:id="271"/>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w:t>
            </w:r>
            <w:r w:rsidRPr="00F90762">
              <w:lastRenderedPageBreak/>
              <w:t>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w:t>
            </w:r>
            <w:r>
              <w:t>de temps interne. Sans serveur de messagerie, la réinitialisation d'un mot de passe se fait par un utilisateur habilité.</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72" w:name="_Toc241922541"/>
      <w:r w:rsidRPr="005D3130">
        <w:t>Qualité et vérification</w:t>
      </w:r>
      <w:bookmarkEnd w:id="272"/>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w:t>
      </w:r>
      <w:r w:rsidRPr="005D3130">
        <w:lastRenderedPageBreak/>
        <w:t>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lastRenderedPageBreak/>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w:t>
            </w:r>
            <w:r>
              <w:t xml:space="preserve">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w:t>
            </w:r>
            <w:r>
              <w:rPr>
                <w:sz w:val="20"/>
                <w:szCs w:val="20"/>
              </w:rPr>
              <w:t>—,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lastRenderedPageBreak/>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Un objectif de temps de réponse qu'on ne mesure pas est un vœu, et une mesure qu'on ne compare pas ne dit pas si l'on s'améliore ou si l'on glisse. Le seuil de non-régression protège du glissement lent, celui qui passe inaperçu version après version jusqu'à rendre une grille </w:t>
            </w:r>
            <w:r w:rsidRPr="005F1CB3">
              <w:rPr>
                <w:sz w:val="20"/>
                <w:szCs w:val="20"/>
              </w:rPr>
              <w:lastRenderedPageBreak/>
              <w:t>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3" w:name="_Toc241922542"/>
      <w:r>
        <w:lastRenderedPageBreak/>
        <w:t>Index des exigences</w:t>
      </w:r>
      <w:bookmarkEnd w:id="273"/>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4" w:name="_Ref240831569"/>
      <w:bookmarkStart w:id="275" w:name="_Ref240831611"/>
      <w:bookmarkStart w:id="276" w:name="_Toc241922543"/>
      <w:r w:rsidRPr="00AC35F5">
        <w:lastRenderedPageBreak/>
        <w:t xml:space="preserve">ANNEXE A: </w:t>
      </w:r>
      <w:r>
        <w:t>Glossaire</w:t>
      </w:r>
      <w:bookmarkEnd w:id="274"/>
      <w:bookmarkEnd w:id="275"/>
      <w:bookmarkEnd w:id="276"/>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 xml:space="preserve">des taux horaires annuels. Chaque rôle de ressource relève </w:t>
            </w:r>
            <w:r w:rsidRPr="00491BB4">
              <w:lastRenderedPageBreak/>
              <w:t>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r>
              <w:t xml:space="preserve"> Chaque inscription porte une qualité, chef de projet ou contributeur.</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lastRenderedPageBreak/>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lastRenderedPageBreak/>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la révision marquée qui fait foi pour le budget de référence, les dates contractuelles et la valeur planifiée. Ce caractère est un attribut de la révision : il passe à une nouvelle révision à chaque avenant contractualisé et à chaque risque survenu.</w:t>
            </w:r>
          </w:p>
        </w:tc>
      </w:tr>
      <w:tr w:rsidR="00577C87" w14:paraId="62DB15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F04BF4">
              <w:t xml:space="preserve">Désigne un arbre de tâches portant des lignes de devis. Sa nature indique ce qu'elle décrit : la structure principale du projet, le différentiel d'un avenant, ou le devis propre à un </w:t>
            </w:r>
            <w:r w:rsidRPr="00F04BF4">
              <w:lastRenderedPageBreak/>
              <w:t>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7" w:name="_Toc241403438"/>
      <w:r>
        <w:t xml:space="preserve">Tableau </w:t>
      </w:r>
      <w:fldSimple w:instr=" SEQ Tableau \* ARABIC ">
        <w:r w:rsidR="004E6894">
          <w:rPr>
            <w:noProof/>
          </w:rPr>
          <w:t>15</w:t>
        </w:r>
      </w:fldSimple>
      <w:r>
        <w:t xml:space="preserve"> Définitions</w:t>
      </w:r>
      <w:bookmarkEnd w:id="277"/>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8" w:name="_Ref241255843"/>
      <w:bookmarkStart w:id="279" w:name="_Ref241256076"/>
      <w:bookmarkStart w:id="280" w:name="_Ref241256129"/>
      <w:bookmarkStart w:id="281" w:name="_Ref241256483"/>
      <w:bookmarkStart w:id="282" w:name="_Ref241256640"/>
      <w:bookmarkStart w:id="283" w:name="_Ref241256700"/>
      <w:bookmarkStart w:id="284" w:name="_Ref241256789"/>
      <w:bookmarkStart w:id="285" w:name="_Ref241256836"/>
      <w:bookmarkStart w:id="286" w:name="_Toc241922544"/>
      <w:r w:rsidRPr="00AC35F5">
        <w:lastRenderedPageBreak/>
        <w:t xml:space="preserve">ANNEXE </w:t>
      </w:r>
      <w:r w:rsidR="00A82824">
        <w:t>B</w:t>
      </w:r>
      <w:r w:rsidRPr="00AC35F5">
        <w:t>: Formats d’échanges Excel</w:t>
      </w:r>
      <w:bookmarkEnd w:id="278"/>
      <w:bookmarkEnd w:id="279"/>
      <w:bookmarkEnd w:id="280"/>
      <w:bookmarkEnd w:id="281"/>
      <w:bookmarkEnd w:id="282"/>
      <w:bookmarkEnd w:id="283"/>
      <w:bookmarkEnd w:id="284"/>
      <w:bookmarkEnd w:id="285"/>
      <w:bookmarkEnd w:id="286"/>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7" w:name="_Toc241922545"/>
      <w:r w:rsidRPr="00614AED">
        <w:lastRenderedPageBreak/>
        <w:t xml:space="preserve">ANNEXE </w:t>
      </w:r>
      <w:r w:rsidR="00A82824">
        <w:t>C</w:t>
      </w:r>
      <w:r w:rsidRPr="00614AED">
        <w:t xml:space="preserve">: </w:t>
      </w:r>
      <w:r w:rsidR="005F1CB3" w:rsidRPr="005F1CB3">
        <w:t>Outillage retenu</w:t>
      </w:r>
      <w:bookmarkEnd w:id="287"/>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8" w:name="_Toc241922546"/>
      <w:r w:rsidRPr="00614AED">
        <w:lastRenderedPageBreak/>
        <w:t xml:space="preserve">ANNEXE </w:t>
      </w:r>
      <w:r>
        <w:t>D</w:t>
      </w:r>
      <w:r w:rsidRPr="00614AED">
        <w:t xml:space="preserve">: </w:t>
      </w:r>
      <w:r>
        <w:t>Points ouverts</w:t>
      </w:r>
      <w:bookmarkEnd w:id="288"/>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20"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32"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3" w:author="Claude" w:date="2026-10-03T19:58:07Z" w:initials="CL">
    <w:p w14:paraId="6690C292" w14:textId="77777777">
      <w:r>
        <w:rPr>
          <w:rStyle w:val="CommentReference"/>
        </w:rPr>
        <w:annotationRef/>
      </w:r>
      <w:r>
        <w:rPr>
          <w:color w:val="000000"/>
          <w:sz w:val="20"/>
          <w:szCs w:val="20"/>
        </w:rPr>
        <w:t xml:space="preserve">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10059CE7"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03225BBA" w15:done="1"/>
  <w15:commentEx w15:paraId="132EC4FD" w15:done="1"/>
  <w15:commentEx w15:paraId="0C97C8C7"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0"/>
  <w15:commentEx w15:paraId="6690C292" w15:paraIdParent="5CEFD9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88CFA" w14:textId="77777777" w:rsidR="002C3440" w:rsidRDefault="002C3440" w:rsidP="00FA4402">
      <w:pPr>
        <w:spacing w:after="0" w:line="240" w:lineRule="auto"/>
      </w:pPr>
      <w:r>
        <w:separator/>
      </w:r>
    </w:p>
  </w:endnote>
  <w:endnote w:type="continuationSeparator" w:id="0">
    <w:p w14:paraId="6F9C624D" w14:textId="77777777" w:rsidR="002C3440" w:rsidRDefault="002C3440"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4EB2C" w14:textId="77777777" w:rsidR="002C3440" w:rsidRDefault="002C3440" w:rsidP="00FA4402">
      <w:pPr>
        <w:spacing w:after="0" w:line="240" w:lineRule="auto"/>
      </w:pPr>
      <w:r>
        <w:separator/>
      </w:r>
    </w:p>
  </w:footnote>
  <w:footnote w:type="continuationSeparator" w:id="0">
    <w:p w14:paraId="7DC5A72D" w14:textId="77777777" w:rsidR="002C3440" w:rsidRDefault="002C3440"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63869</Words>
  <Characters>331483</Characters>
  <Application>Microsoft Office Word</Application>
  <DocSecurity>0</DocSecurity>
  <Lines>9749</Lines>
  <Paragraphs>6481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388871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256</cp:revision>
  <dcterms:created xsi:type="dcterms:W3CDTF">2026-09-17T06:51:00Z</dcterms:created>
  <dcterms:modified xsi:type="dcterms:W3CDTF">2026-10-03T19:55:00Z</dcterms:modified>
</cp:coreProperties>
</file>