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0123"/>
      </w:tblGrid>
      <w:tr>
        <w:tc>
          <w:tcPr>
            <w:tcW w:type="dxa" w:w="10123"/>
            <w:shd w:fill="061A33"/>
            <w:tcBorders>
              <w:top w:val="single" w:sz="12" w:space="0" w:color="061A33"/>
              <w:left w:val="single" w:sz="12" w:space="0" w:color="061A33"/>
              <w:bottom w:val="single" w:sz="12" w:space="0" w:color="061A33"/>
              <w:right w:val="single" w:sz="12" w:space="0" w:color="061A33"/>
            </w:tcBorders>
            <w:tcMar>
              <w:top w:w="520" w:type="dxa"/>
              <w:start w:w="420" w:type="dxa"/>
              <w:bottom w:w="520" w:type="dxa"/>
              <w:end w:w="420" w:type="dxa"/>
            </w:tcMar>
          </w:tcPr>
          <w:p>
            <w:pPr>
              <w:jc w:val="left"/>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con.png"/>
                          <pic:cNvPicPr/>
                        </pic:nvPicPr>
                        <pic:blipFill>
                          <a:blip r:embed="rId10"/>
                          <a:stretch>
                            <a:fillRect/>
                          </a:stretch>
                        </pic:blipFill>
                        <pic:spPr>
                          <a:xfrm>
                            <a:off x="0" y="0"/>
                            <a:ext cx="658368" cy="658368"/>
                          </a:xfrm>
                          <a:prstGeom prst="rect"/>
                        </pic:spPr>
                      </pic:pic>
                    </a:graphicData>
                  </a:graphic>
                </wp:inline>
              </w:drawing>
            </w:r>
          </w:p>
          <w:p>
            <w:pPr>
              <w:spacing w:after="320"/>
            </w:pPr>
            <w:r>
              <w:rPr>
                <w:rFonts w:ascii="Calibri" w:hAnsi="Calibri"/>
                <w:b/>
                <w:i w:val="0"/>
                <w:color w:val="9EC4FF"/>
                <w:sz w:val="30"/>
              </w:rPr>
              <w:t>VALUEVISION</w:t>
            </w:r>
          </w:p>
          <w:p>
            <w:pPr>
              <w:spacing w:after="200"/>
            </w:pPr>
            <w:r>
              <w:rPr>
                <w:rFonts w:ascii="Calibri" w:hAnsi="Calibri"/>
                <w:b/>
                <w:i w:val="0"/>
                <w:color w:val="FFFFFF"/>
                <w:sz w:val="52"/>
              </w:rPr>
              <w:t>Creator Partner &amp; Investment Brief</w:t>
            </w:r>
          </w:p>
          <w:p>
            <w:pPr>
              <w:spacing w:after="360"/>
            </w:pPr>
            <w:r>
              <w:rPr>
                <w:rFonts w:ascii="Calibri" w:hAnsi="Calibri"/>
                <w:b w:val="0"/>
                <w:i w:val="0"/>
                <w:color w:val="DCEBFF"/>
                <w:sz w:val="26"/>
              </w:rPr>
              <w:t>A practical launch pack for creators, social media pages, resellers, car-content channels, and early private backers.</w:t>
            </w:r>
          </w:p>
          <w:p>
            <w:r>
              <w:rPr>
                <w:rFonts w:ascii="Calibri" w:hAnsi="Calibri"/>
                <w:b/>
                <w:i w:val="0"/>
                <w:color w:val="18BFAE"/>
                <w:sz w:val="32"/>
              </w:rPr>
              <w:t>Scan it. Know it. Price it. Sell smarter.</w:t>
            </w:r>
          </w:p>
        </w:tc>
      </w:tr>
    </w:tbl>
    <w:tbl>
      <w:tblPr>
        <w:tblW w:type="pct" w:w="5000"/>
        <w:jc w:val="center"/>
        <w:tblLook w:firstColumn="1" w:firstRow="1" w:lastColumn="0" w:lastRow="0" w:noHBand="0" w:noVBand="1" w:val="04A0"/>
      </w:tblPr>
      <w:tblGrid>
        <w:gridCol w:w="3374"/>
        <w:gridCol w:w="3374"/>
        <w:gridCol w:w="3374"/>
      </w:tblGrid>
      <w:tr>
        <w:tc>
          <w:tcPr>
            <w:tcW w:type="dxa" w:w="3374"/>
            <w:shd w:fill="DFF8F3"/>
            <w:tcBorders>
              <w:top w:val="single" w:sz="8" w:space="0" w:color="C9D7E8"/>
              <w:left w:val="single" w:sz="8" w:space="0" w:color="C9D7E8"/>
              <w:bottom w:val="single" w:sz="8" w:space="0" w:color="C9D7E8"/>
              <w:right w:val="single" w:sz="8" w:space="0" w:color="C9D7E8"/>
            </w:tcBorders>
            <w:tcMar>
              <w:top w:w="150" w:type="dxa"/>
              <w:start w:w="130" w:type="dxa"/>
              <w:bottom w:w="150" w:type="dxa"/>
              <w:end w:w="130" w:type="dxa"/>
            </w:tcMar>
          </w:tcPr>
          <w:p>
            <w:r>
              <w:rPr>
                <w:rFonts w:ascii="Calibri" w:hAnsi="Calibri"/>
                <w:b/>
                <w:i w:val="0"/>
                <w:color w:val="52647A"/>
                <w:sz w:val="18"/>
              </w:rPr>
              <w:t>LAUNCH MODEL</w:t>
            </w:r>
          </w:p>
          <w:p>
            <w:r>
              <w:rPr>
                <w:rFonts w:ascii="Calibri" w:hAnsi="Calibri"/>
                <w:b/>
                <w:i w:val="0"/>
                <w:color w:val="07182D"/>
                <w:sz w:val="21"/>
              </w:rPr>
              <w:t>Free app + paid checks</w:t>
            </w:r>
          </w:p>
        </w:tc>
        <w:tc>
          <w:tcPr>
            <w:tcW w:type="dxa" w:w="3374"/>
            <w:shd w:fill="EAF2FF"/>
            <w:tcBorders>
              <w:top w:val="single" w:sz="8" w:space="0" w:color="C9D7E8"/>
              <w:left w:val="single" w:sz="8" w:space="0" w:color="C9D7E8"/>
              <w:bottom w:val="single" w:sz="8" w:space="0" w:color="C9D7E8"/>
              <w:right w:val="single" w:sz="8" w:space="0" w:color="C9D7E8"/>
            </w:tcBorders>
            <w:tcMar>
              <w:top w:w="150" w:type="dxa"/>
              <w:start w:w="130" w:type="dxa"/>
              <w:bottom w:w="150" w:type="dxa"/>
              <w:end w:w="130" w:type="dxa"/>
            </w:tcMar>
          </w:tcPr>
          <w:p>
            <w:r>
              <w:rPr>
                <w:rFonts w:ascii="Calibri" w:hAnsi="Calibri"/>
                <w:b/>
                <w:i w:val="0"/>
                <w:color w:val="52647A"/>
                <w:sz w:val="18"/>
              </w:rPr>
              <w:t>CREATOR OFFER</w:t>
            </w:r>
          </w:p>
          <w:p>
            <w:r>
              <w:rPr>
                <w:rFonts w:ascii="Calibri" w:hAnsi="Calibri"/>
                <w:b/>
                <w:i w:val="0"/>
                <w:color w:val="07182D"/>
                <w:sz w:val="21"/>
              </w:rPr>
              <w:t>20p-50p per sale or campaign share</w:t>
            </w:r>
          </w:p>
        </w:tc>
        <w:tc>
          <w:tcPr>
            <w:tcW w:type="dxa" w:w="3374"/>
            <w:shd w:fill="DFF8F3"/>
            <w:tcBorders>
              <w:top w:val="single" w:sz="8" w:space="0" w:color="C9D7E8"/>
              <w:left w:val="single" w:sz="8" w:space="0" w:color="C9D7E8"/>
              <w:bottom w:val="single" w:sz="8" w:space="0" w:color="C9D7E8"/>
              <w:right w:val="single" w:sz="8" w:space="0" w:color="C9D7E8"/>
            </w:tcBorders>
            <w:tcMar>
              <w:top w:w="150" w:type="dxa"/>
              <w:start w:w="130" w:type="dxa"/>
              <w:bottom w:w="150" w:type="dxa"/>
              <w:end w:w="130" w:type="dxa"/>
            </w:tcMar>
          </w:tcPr>
          <w:p>
            <w:r>
              <w:rPr>
                <w:rFonts w:ascii="Calibri" w:hAnsi="Calibri"/>
                <w:b/>
                <w:i w:val="0"/>
                <w:color w:val="52647A"/>
                <w:sz w:val="18"/>
              </w:rPr>
              <w:t>INVESTMENT OFFER</w:t>
            </w:r>
          </w:p>
          <w:p>
            <w:r>
              <w:rPr>
                <w:rFonts w:ascii="Calibri" w:hAnsi="Calibri"/>
                <w:b/>
                <w:i w:val="0"/>
                <w:color w:val="07182D"/>
                <w:sz w:val="21"/>
              </w:rPr>
              <w:t>£25k for 5% equity discussion</w:t>
            </w:r>
          </w:p>
        </w:tc>
      </w:tr>
    </w:tbl>
    <w:p>
      <w:r>
        <w:br w:type="page"/>
      </w:r>
    </w:p>
    <w:p>
      <w:pPr>
        <w:pStyle w:val="Heading1"/>
      </w:pPr>
      <w:r>
        <w:t>The Simple Pitch</w:t>
      </w:r>
    </w:p>
    <w:p>
      <w:pPr>
        <w:pStyle w:val="BodyText"/>
      </w:pPr>
      <w:r>
        <w:t>ValueVision is a mobile scanning app built to help people identify everyday items, vehicles, tools, tech, books, coins and collectibles, then see an estimated resale value range and next action. The app is free to download, with paid vehicle checks and premium scan features designed to protect margin and avoid API-cost loss.</w:t>
      </w:r>
    </w:p>
    <w:tbl>
      <w:tblPr>
        <w:tblW w:type="pct" w:w="5000"/>
        <w:jc w:val="center"/>
        <w:tblLook w:firstColumn="1" w:firstRow="1" w:lastColumn="0" w:lastRow="0" w:noHBand="0" w:noVBand="1" w:val="04A0"/>
      </w:tblPr>
      <w:tblGrid>
        <w:gridCol w:w="10123"/>
      </w:tblGrid>
      <w:tr>
        <w:tc>
          <w:tcPr>
            <w:tcW w:type="dxa" w:w="10123"/>
            <w:shd w:fill="DFF8F3"/>
            <w:tcBorders>
              <w:top w:val="single" w:sz="8" w:space="0" w:color="C9D7E8"/>
              <w:left w:val="single" w:sz="8" w:space="0" w:color="C9D7E8"/>
              <w:bottom w:val="single" w:sz="8" w:space="0" w:color="C9D7E8"/>
              <w:right w:val="single" w:sz="8" w:space="0" w:color="C9D7E8"/>
            </w:tcBorders>
            <w:tcMar>
              <w:top w:w="170" w:type="dxa"/>
              <w:start w:w="220" w:type="dxa"/>
              <w:bottom w:w="170" w:type="dxa"/>
              <w:end w:w="220" w:type="dxa"/>
            </w:tcMar>
            <w:vAlign w:val="center"/>
          </w:tcPr>
          <w:p>
            <w:pPr>
              <w:spacing w:after="80"/>
            </w:pPr>
            <w:r>
              <w:rPr>
                <w:rFonts w:ascii="Calibri" w:hAnsi="Calibri"/>
                <w:b/>
                <w:i w:val="0"/>
                <w:color w:val="18BFAE"/>
                <w:sz w:val="26"/>
              </w:rPr>
              <w:t>WHY THIS CAN TRAVEL ON SOCIAL</w:t>
            </w:r>
          </w:p>
          <w:p>
            <w:pPr>
              <w:spacing w:after="0"/>
            </w:pPr>
            <w:r>
              <w:rPr>
                <w:rFonts w:ascii="Calibri" w:hAnsi="Calibri"/>
                <w:b w:val="0"/>
                <w:i w:val="0"/>
                <w:color w:val="07182D"/>
                <w:sz w:val="21"/>
              </w:rPr>
              <w:t>The demo is instantly understandable: scan a product, car, van, laptop, tool, bottle, coin or market find, then reveal what it is worth. That creates short-form content people can watch, copy, and try themselves.</w:t>
            </w:r>
          </w:p>
        </w:tc>
      </w:tr>
    </w:tbl>
    <w:p>
      <w:pPr>
        <w:spacing w:after="40"/>
      </w:pPr>
    </w:p>
    <w:p>
      <w:pPr>
        <w:pStyle w:val="Heading2"/>
      </w:pPr>
      <w:r>
        <w:t>What ValueVision Does</w:t>
      </w:r>
    </w:p>
    <w:p>
      <w:pPr>
        <w:pStyle w:val="ListBullet"/>
        <w:spacing w:after="80"/>
      </w:pPr>
      <w:r>
        <w:t>Anything Mode: scan non-car items and receive an estimated resale range, confidence score, and saveable result.</w:t>
      </w:r>
    </w:p>
    <w:p>
      <w:pPr>
        <w:pStyle w:val="ListBullet"/>
        <w:spacing w:after="80"/>
      </w:pPr>
      <w:r>
        <w:t>Car Mode: scan UK plates or vehicle photos, then run paid vehicle checks and valuation support when unlocked.</w:t>
      </w:r>
    </w:p>
    <w:p>
      <w:pPr>
        <w:pStyle w:val="ListBullet"/>
        <w:spacing w:after="80"/>
      </w:pPr>
      <w:r>
        <w:t>Collection: keep scan history and compare value opportunities over time.</w:t>
      </w:r>
    </w:p>
    <w:p>
      <w:pPr>
        <w:pStyle w:val="ListBullet"/>
        <w:spacing w:after="80"/>
      </w:pPr>
      <w:r>
        <w:t>Sell and Explore tools: help users turn scan results into listing ideas, pricing decisions, and quality checks.</w:t>
      </w:r>
    </w:p>
    <w:p>
      <w:pPr>
        <w:pStyle w:val="ListBullet"/>
        <w:spacing w:after="80"/>
      </w:pPr>
      <w:r>
        <w:t>AI Photo ID Gen 2: positioned as a coming upgrade, giving the launch a clear roadmap without overpromising at day one.</w:t>
      </w:r>
    </w:p>
    <w:p>
      <w:pPr>
        <w:pStyle w:val="Heading2"/>
      </w:pPr>
      <w:r>
        <w:t>Current Commercial Logic</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F4F7FB"/>
            <w:tcMar>
              <w:top w:w="90" w:type="dxa"/>
              <w:start w:w="110" w:type="dxa"/>
              <w:bottom w:w="90" w:type="dxa"/>
              <w:end w:w="110" w:type="dxa"/>
            </w:tcMar>
          </w:tcPr>
          <w:p>
            <w:r>
              <w:rPr>
                <w:rFonts w:ascii="Calibri" w:hAnsi="Calibri"/>
                <w:b/>
                <w:i w:val="0"/>
                <w:color w:val="07182D"/>
                <w:sz w:val="19"/>
              </w:rPr>
              <w:t>REVENUE LINE</w:t>
            </w:r>
          </w:p>
        </w:tc>
        <w:tc>
          <w:tcPr>
            <w:tcW w:type="dxa" w:w="3374"/>
            <w:shd w:fill="F4F7FB"/>
            <w:tcMar>
              <w:top w:w="90" w:type="dxa"/>
              <w:start w:w="110" w:type="dxa"/>
              <w:bottom w:w="90" w:type="dxa"/>
              <w:end w:w="110" w:type="dxa"/>
            </w:tcMar>
          </w:tcPr>
          <w:p>
            <w:r>
              <w:rPr>
                <w:rFonts w:ascii="Calibri" w:hAnsi="Calibri"/>
                <w:b/>
                <w:i w:val="0"/>
                <w:color w:val="07182D"/>
                <w:sz w:val="19"/>
              </w:rPr>
              <w:t>CUSTOMER VALUE</w:t>
            </w:r>
          </w:p>
        </w:tc>
        <w:tc>
          <w:tcPr>
            <w:tcW w:type="dxa" w:w="3374"/>
            <w:shd w:fill="F4F7FB"/>
            <w:tcMar>
              <w:top w:w="90" w:type="dxa"/>
              <w:start w:w="110" w:type="dxa"/>
              <w:bottom w:w="90" w:type="dxa"/>
              <w:end w:w="110" w:type="dxa"/>
            </w:tcMar>
          </w:tcPr>
          <w:p>
            <w:r>
              <w:rPr>
                <w:rFonts w:ascii="Calibri" w:hAnsi="Calibri"/>
                <w:b/>
                <w:i w:val="0"/>
                <w:color w:val="07182D"/>
                <w:sz w:val="19"/>
              </w:rPr>
              <w:t>LAUNCH PRICING</w:t>
            </w:r>
          </w:p>
        </w:tc>
      </w:tr>
      <w:tr>
        <w:tc>
          <w:tcPr>
            <w:tcW w:type="dxa" w:w="3374"/>
            <w:tcMar>
              <w:top w:w="90" w:type="dxa"/>
              <w:start w:w="110" w:type="dxa"/>
              <w:bottom w:w="90" w:type="dxa"/>
              <w:end w:w="110" w:type="dxa"/>
            </w:tcMar>
          </w:tcPr>
          <w:p>
            <w:r>
              <w:rPr>
                <w:rFonts w:ascii="Calibri" w:hAnsi="Calibri"/>
                <w:b w:val="0"/>
                <w:i w:val="0"/>
                <w:color w:val="07182D"/>
                <w:sz w:val="20"/>
              </w:rPr>
              <w:t>Free app download</w:t>
            </w:r>
          </w:p>
        </w:tc>
        <w:tc>
          <w:tcPr>
            <w:tcW w:type="dxa" w:w="3374"/>
            <w:tcMar>
              <w:top w:w="90" w:type="dxa"/>
              <w:start w:w="110" w:type="dxa"/>
              <w:bottom w:w="90" w:type="dxa"/>
              <w:end w:w="110" w:type="dxa"/>
            </w:tcMar>
          </w:tcPr>
          <w:p>
            <w:r>
              <w:rPr>
                <w:rFonts w:ascii="Calibri" w:hAnsi="Calibri"/>
                <w:b w:val="0"/>
                <w:i w:val="0"/>
                <w:color w:val="07182D"/>
                <w:sz w:val="20"/>
              </w:rPr>
              <w:t>Low barrier, wide reach, social sharing</w:t>
            </w:r>
          </w:p>
        </w:tc>
        <w:tc>
          <w:tcPr>
            <w:tcW w:type="dxa" w:w="3374"/>
            <w:tcMar>
              <w:top w:w="90" w:type="dxa"/>
              <w:start w:w="110" w:type="dxa"/>
              <w:bottom w:w="90" w:type="dxa"/>
              <w:end w:w="110" w:type="dxa"/>
            </w:tcMar>
          </w:tcPr>
          <w:p>
            <w:r>
              <w:rPr>
                <w:rFonts w:ascii="Calibri" w:hAnsi="Calibri"/>
                <w:b w:val="0"/>
                <w:i w:val="0"/>
                <w:color w:val="07182D"/>
                <w:sz w:val="20"/>
              </w:rPr>
              <w:t>£0.00 download</w:t>
            </w:r>
          </w:p>
        </w:tc>
      </w:tr>
      <w:tr>
        <w:tc>
          <w:tcPr>
            <w:tcW w:type="dxa" w:w="3374"/>
            <w:tcMar>
              <w:top w:w="90" w:type="dxa"/>
              <w:start w:w="110" w:type="dxa"/>
              <w:bottom w:w="90" w:type="dxa"/>
              <w:end w:w="110" w:type="dxa"/>
            </w:tcMar>
          </w:tcPr>
          <w:p>
            <w:r>
              <w:rPr>
                <w:rFonts w:ascii="Calibri" w:hAnsi="Calibri"/>
                <w:b w:val="0"/>
                <w:i w:val="0"/>
                <w:color w:val="07182D"/>
                <w:sz w:val="20"/>
              </w:rPr>
              <w:t>Full car check</w:t>
            </w:r>
          </w:p>
        </w:tc>
        <w:tc>
          <w:tcPr>
            <w:tcW w:type="dxa" w:w="3374"/>
            <w:tcMar>
              <w:top w:w="90" w:type="dxa"/>
              <w:start w:w="110" w:type="dxa"/>
              <w:bottom w:w="90" w:type="dxa"/>
              <w:end w:w="110" w:type="dxa"/>
            </w:tcMar>
          </w:tcPr>
          <w:p>
            <w:r>
              <w:rPr>
                <w:rFonts w:ascii="Calibri" w:hAnsi="Calibri"/>
                <w:b w:val="0"/>
                <w:i w:val="0"/>
                <w:color w:val="07182D"/>
                <w:sz w:val="20"/>
              </w:rPr>
              <w:t>One paid UK vehicle check</w:t>
            </w:r>
          </w:p>
        </w:tc>
        <w:tc>
          <w:tcPr>
            <w:tcW w:type="dxa" w:w="3374"/>
            <w:tcMar>
              <w:top w:w="90" w:type="dxa"/>
              <w:start w:w="110" w:type="dxa"/>
              <w:bottom w:w="90" w:type="dxa"/>
              <w:end w:w="110" w:type="dxa"/>
            </w:tcMar>
          </w:tcPr>
          <w:p>
            <w:r>
              <w:rPr>
                <w:rFonts w:ascii="Calibri" w:hAnsi="Calibri"/>
                <w:b w:val="0"/>
                <w:i w:val="0"/>
                <w:color w:val="07182D"/>
                <w:sz w:val="20"/>
              </w:rPr>
              <w:t>£5.99</w:t>
            </w:r>
          </w:p>
        </w:tc>
      </w:tr>
      <w:tr>
        <w:tc>
          <w:tcPr>
            <w:tcW w:type="dxa" w:w="3374"/>
            <w:tcMar>
              <w:top w:w="90" w:type="dxa"/>
              <w:start w:w="110" w:type="dxa"/>
              <w:bottom w:w="90" w:type="dxa"/>
              <w:end w:w="110" w:type="dxa"/>
            </w:tcMar>
          </w:tcPr>
          <w:p>
            <w:r>
              <w:rPr>
                <w:rFonts w:ascii="Calibri" w:hAnsi="Calibri"/>
                <w:b w:val="0"/>
                <w:i w:val="0"/>
                <w:color w:val="07182D"/>
                <w:sz w:val="20"/>
              </w:rPr>
              <w:t>Full car check 3-pack</w:t>
            </w:r>
          </w:p>
        </w:tc>
        <w:tc>
          <w:tcPr>
            <w:tcW w:type="dxa" w:w="3374"/>
            <w:tcMar>
              <w:top w:w="90" w:type="dxa"/>
              <w:start w:w="110" w:type="dxa"/>
              <w:bottom w:w="90" w:type="dxa"/>
              <w:end w:w="110" w:type="dxa"/>
            </w:tcMar>
          </w:tcPr>
          <w:p>
            <w:r>
              <w:rPr>
                <w:rFonts w:ascii="Calibri" w:hAnsi="Calibri"/>
                <w:b w:val="0"/>
                <w:i w:val="0"/>
                <w:color w:val="07182D"/>
                <w:sz w:val="20"/>
              </w:rPr>
              <w:t>Bundle of 3 paid vehicle checks</w:t>
            </w:r>
          </w:p>
        </w:tc>
        <w:tc>
          <w:tcPr>
            <w:tcW w:type="dxa" w:w="3374"/>
            <w:tcMar>
              <w:top w:w="90" w:type="dxa"/>
              <w:start w:w="110" w:type="dxa"/>
              <w:bottom w:w="90" w:type="dxa"/>
              <w:end w:w="110" w:type="dxa"/>
            </w:tcMar>
          </w:tcPr>
          <w:p>
            <w:r>
              <w:rPr>
                <w:rFonts w:ascii="Calibri" w:hAnsi="Calibri"/>
                <w:b w:val="0"/>
                <w:i w:val="0"/>
                <w:color w:val="07182D"/>
                <w:sz w:val="20"/>
              </w:rPr>
              <w:t>£15.99</w:t>
            </w:r>
          </w:p>
        </w:tc>
      </w:tr>
      <w:tr>
        <w:tc>
          <w:tcPr>
            <w:tcW w:type="dxa" w:w="3374"/>
            <w:tcMar>
              <w:top w:w="90" w:type="dxa"/>
              <w:start w:w="110" w:type="dxa"/>
              <w:bottom w:w="90" w:type="dxa"/>
              <w:end w:w="110" w:type="dxa"/>
            </w:tcMar>
          </w:tcPr>
          <w:p>
            <w:r>
              <w:rPr>
                <w:rFonts w:ascii="Calibri" w:hAnsi="Calibri"/>
                <w:b w:val="0"/>
                <w:i w:val="0"/>
                <w:color w:val="07182D"/>
                <w:sz w:val="20"/>
              </w:rPr>
              <w:t>Monthly access</w:t>
            </w:r>
          </w:p>
        </w:tc>
        <w:tc>
          <w:tcPr>
            <w:tcW w:type="dxa" w:w="3374"/>
            <w:tcMar>
              <w:top w:w="90" w:type="dxa"/>
              <w:start w:w="110" w:type="dxa"/>
              <w:bottom w:w="90" w:type="dxa"/>
              <w:end w:w="110" w:type="dxa"/>
            </w:tcMar>
          </w:tcPr>
          <w:p>
            <w:r>
              <w:rPr>
                <w:rFonts w:ascii="Calibri" w:hAnsi="Calibri"/>
                <w:b w:val="0"/>
                <w:i w:val="0"/>
                <w:color w:val="07182D"/>
                <w:sz w:val="20"/>
              </w:rPr>
              <w:t>Ongoing paid scans and valuation tools</w:t>
            </w:r>
          </w:p>
        </w:tc>
        <w:tc>
          <w:tcPr>
            <w:tcW w:type="dxa" w:w="3374"/>
            <w:tcMar>
              <w:top w:w="90" w:type="dxa"/>
              <w:start w:w="110" w:type="dxa"/>
              <w:bottom w:w="90" w:type="dxa"/>
              <w:end w:w="110" w:type="dxa"/>
            </w:tcMar>
          </w:tcPr>
          <w:p>
            <w:r>
              <w:rPr>
                <w:rFonts w:ascii="Calibri" w:hAnsi="Calibri"/>
                <w:b w:val="0"/>
                <w:i w:val="0"/>
                <w:color w:val="07182D"/>
                <w:sz w:val="20"/>
              </w:rPr>
              <w:t>Target £9.99/month</w:t>
            </w:r>
          </w:p>
        </w:tc>
      </w:tr>
    </w:tbl>
    <w:p>
      <w:pPr>
        <w:spacing w:after="80"/>
      </w:pPr>
    </w:p>
    <w:p>
      <w:pPr>
        <w:pStyle w:val="Heading1"/>
      </w:pPr>
      <w:r>
        <w:t>Creator &amp; Social Media Partner Offer</w:t>
      </w:r>
    </w:p>
    <w:p>
      <w:pPr>
        <w:pStyle w:val="BodyText"/>
      </w:pPr>
      <w:r>
        <w:t>This section is for people who can bring attention rather than cash: social pages, car channels, resellers, Facebook group admins, TikTok creators, YouTubers, local deal pages, and giveaway partners.</w:t>
      </w:r>
    </w:p>
    <w:p>
      <w:pPr>
        <w:pStyle w:val="Heading2"/>
      </w:pPr>
      <w:r>
        <w:t>Three Ways to Work Together</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F4F7FB"/>
            <w:tcMar>
              <w:top w:w="90" w:type="dxa"/>
              <w:start w:w="110" w:type="dxa"/>
              <w:bottom w:w="90" w:type="dxa"/>
              <w:end w:w="110" w:type="dxa"/>
            </w:tcMar>
          </w:tcPr>
          <w:p>
            <w:r>
              <w:rPr>
                <w:rFonts w:ascii="Calibri" w:hAnsi="Calibri"/>
                <w:b/>
                <w:i w:val="0"/>
                <w:color w:val="07182D"/>
                <w:sz w:val="19"/>
              </w:rPr>
              <w:t>MODEL</w:t>
            </w:r>
          </w:p>
        </w:tc>
        <w:tc>
          <w:tcPr>
            <w:tcW w:type="dxa" w:w="3374"/>
            <w:shd w:fill="F4F7FB"/>
            <w:tcMar>
              <w:top w:w="90" w:type="dxa"/>
              <w:start w:w="110" w:type="dxa"/>
              <w:bottom w:w="90" w:type="dxa"/>
              <w:end w:w="110" w:type="dxa"/>
            </w:tcMar>
          </w:tcPr>
          <w:p>
            <w:r>
              <w:rPr>
                <w:rFonts w:ascii="Calibri" w:hAnsi="Calibri"/>
                <w:b/>
                <w:i w:val="0"/>
                <w:color w:val="07182D"/>
                <w:sz w:val="19"/>
              </w:rPr>
              <w:t>BEST FOR</w:t>
            </w:r>
          </w:p>
        </w:tc>
        <w:tc>
          <w:tcPr>
            <w:tcW w:type="dxa" w:w="3374"/>
            <w:shd w:fill="F4F7FB"/>
            <w:tcMar>
              <w:top w:w="90" w:type="dxa"/>
              <w:start w:w="110" w:type="dxa"/>
              <w:bottom w:w="90" w:type="dxa"/>
              <w:end w:w="110" w:type="dxa"/>
            </w:tcMar>
          </w:tcPr>
          <w:p>
            <w:r>
              <w:rPr>
                <w:rFonts w:ascii="Calibri" w:hAnsi="Calibri"/>
                <w:b/>
                <w:i w:val="0"/>
                <w:color w:val="07182D"/>
                <w:sz w:val="19"/>
              </w:rPr>
              <w:t>EXAMPLE COMMERCIAL</w:t>
            </w:r>
          </w:p>
        </w:tc>
      </w:tr>
      <w:tr>
        <w:tc>
          <w:tcPr>
            <w:tcW w:type="dxa" w:w="3374"/>
            <w:tcMar>
              <w:top w:w="90" w:type="dxa"/>
              <w:start w:w="110" w:type="dxa"/>
              <w:bottom w:w="90" w:type="dxa"/>
              <w:end w:w="110" w:type="dxa"/>
            </w:tcMar>
          </w:tcPr>
          <w:p>
            <w:r>
              <w:rPr>
                <w:rFonts w:ascii="Calibri" w:hAnsi="Calibri"/>
                <w:b w:val="0"/>
                <w:i w:val="0"/>
                <w:color w:val="07182D"/>
                <w:sz w:val="20"/>
              </w:rPr>
              <w:t>Affiliate sale commission</w:t>
            </w:r>
          </w:p>
        </w:tc>
        <w:tc>
          <w:tcPr>
            <w:tcW w:type="dxa" w:w="3374"/>
            <w:tcMar>
              <w:top w:w="90" w:type="dxa"/>
              <w:start w:w="110" w:type="dxa"/>
              <w:bottom w:w="90" w:type="dxa"/>
              <w:end w:w="110" w:type="dxa"/>
            </w:tcMar>
          </w:tcPr>
          <w:p>
            <w:r>
              <w:rPr>
                <w:rFonts w:ascii="Calibri" w:hAnsi="Calibri"/>
                <w:b w:val="0"/>
                <w:i w:val="0"/>
                <w:color w:val="07182D"/>
                <w:sz w:val="20"/>
              </w:rPr>
              <w:t>Creators who want simple tracking</w:t>
            </w:r>
          </w:p>
        </w:tc>
        <w:tc>
          <w:tcPr>
            <w:tcW w:type="dxa" w:w="3374"/>
            <w:tcMar>
              <w:top w:w="90" w:type="dxa"/>
              <w:start w:w="110" w:type="dxa"/>
              <w:bottom w:w="90" w:type="dxa"/>
              <w:end w:w="110" w:type="dxa"/>
            </w:tcMar>
          </w:tcPr>
          <w:p>
            <w:r>
              <w:rPr>
                <w:rFonts w:ascii="Calibri" w:hAnsi="Calibri"/>
                <w:b w:val="0"/>
                <w:i w:val="0"/>
                <w:color w:val="07182D"/>
                <w:sz w:val="20"/>
              </w:rPr>
              <w:t>20p-50p per confirmed paid sale</w:t>
            </w:r>
          </w:p>
        </w:tc>
      </w:tr>
      <w:tr>
        <w:tc>
          <w:tcPr>
            <w:tcW w:type="dxa" w:w="3374"/>
            <w:tcMar>
              <w:top w:w="90" w:type="dxa"/>
              <w:start w:w="110" w:type="dxa"/>
              <w:bottom w:w="90" w:type="dxa"/>
              <w:end w:w="110" w:type="dxa"/>
            </w:tcMar>
          </w:tcPr>
          <w:p>
            <w:r>
              <w:rPr>
                <w:rFonts w:ascii="Calibri" w:hAnsi="Calibri"/>
                <w:b w:val="0"/>
                <w:i w:val="0"/>
                <w:color w:val="07182D"/>
                <w:sz w:val="20"/>
              </w:rPr>
              <w:t>Content launch package</w:t>
            </w:r>
          </w:p>
        </w:tc>
        <w:tc>
          <w:tcPr>
            <w:tcW w:type="dxa" w:w="3374"/>
            <w:tcMar>
              <w:top w:w="90" w:type="dxa"/>
              <w:start w:w="110" w:type="dxa"/>
              <w:bottom w:w="90" w:type="dxa"/>
              <w:end w:w="110" w:type="dxa"/>
            </w:tcMar>
          </w:tcPr>
          <w:p>
            <w:r>
              <w:rPr>
                <w:rFonts w:ascii="Calibri" w:hAnsi="Calibri"/>
                <w:b w:val="0"/>
                <w:i w:val="0"/>
                <w:color w:val="07182D"/>
                <w:sz w:val="20"/>
              </w:rPr>
              <w:t>Creators producing demos and launch content</w:t>
            </w:r>
          </w:p>
        </w:tc>
        <w:tc>
          <w:tcPr>
            <w:tcW w:type="dxa" w:w="3374"/>
            <w:tcMar>
              <w:top w:w="90" w:type="dxa"/>
              <w:start w:w="110" w:type="dxa"/>
              <w:bottom w:w="90" w:type="dxa"/>
              <w:end w:w="110" w:type="dxa"/>
            </w:tcMar>
          </w:tcPr>
          <w:p>
            <w:r>
              <w:rPr>
                <w:rFonts w:ascii="Calibri" w:hAnsi="Calibri"/>
                <w:b w:val="0"/>
                <w:i w:val="0"/>
                <w:color w:val="07182D"/>
                <w:sz w:val="20"/>
              </w:rPr>
              <w:t>Fixed fee plus performance bonus</w:t>
            </w:r>
          </w:p>
        </w:tc>
      </w:tr>
      <w:tr>
        <w:tc>
          <w:tcPr>
            <w:tcW w:type="dxa" w:w="3374"/>
            <w:tcMar>
              <w:top w:w="90" w:type="dxa"/>
              <w:start w:w="110" w:type="dxa"/>
              <w:bottom w:w="90" w:type="dxa"/>
              <w:end w:w="110" w:type="dxa"/>
            </w:tcMar>
          </w:tcPr>
          <w:p>
            <w:r>
              <w:rPr>
                <w:rFonts w:ascii="Calibri" w:hAnsi="Calibri"/>
                <w:b w:val="0"/>
                <w:i w:val="0"/>
                <w:color w:val="07182D"/>
                <w:sz w:val="20"/>
              </w:rPr>
              <w:t>Tracked campaign profit share</w:t>
            </w:r>
          </w:p>
        </w:tc>
        <w:tc>
          <w:tcPr>
            <w:tcW w:type="dxa" w:w="3374"/>
            <w:tcMar>
              <w:top w:w="90" w:type="dxa"/>
              <w:start w:w="110" w:type="dxa"/>
              <w:bottom w:w="90" w:type="dxa"/>
              <w:end w:w="110" w:type="dxa"/>
            </w:tcMar>
          </w:tcPr>
          <w:p>
            <w:r>
              <w:rPr>
                <w:rFonts w:ascii="Calibri" w:hAnsi="Calibri"/>
                <w:b w:val="0"/>
                <w:i w:val="0"/>
                <w:color w:val="07182D"/>
                <w:sz w:val="20"/>
              </w:rPr>
              <w:t>Large partners with major reach</w:t>
            </w:r>
          </w:p>
        </w:tc>
        <w:tc>
          <w:tcPr>
            <w:tcW w:type="dxa" w:w="3374"/>
            <w:tcMar>
              <w:top w:w="90" w:type="dxa"/>
              <w:start w:w="110" w:type="dxa"/>
              <w:bottom w:w="90" w:type="dxa"/>
              <w:end w:w="110" w:type="dxa"/>
            </w:tcMar>
          </w:tcPr>
          <w:p>
            <w:r>
              <w:rPr>
                <w:rFonts w:ascii="Calibri" w:hAnsi="Calibri"/>
                <w:b w:val="0"/>
                <w:i w:val="0"/>
                <w:color w:val="07182D"/>
                <w:sz w:val="20"/>
              </w:rPr>
              <w:t>Up to 1% of agreed net campaign profit</w:t>
            </w:r>
          </w:p>
        </w:tc>
      </w:tr>
    </w:tbl>
    <w:p>
      <w:pPr>
        <w:spacing w:after="80"/>
      </w:pPr>
    </w:p>
    <w:p>
      <w:pPr>
        <w:pStyle w:val="Heading2"/>
      </w:pPr>
      <w:r>
        <w:t>Commission Examples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F4F7FB"/>
            <w:tcMar>
              <w:top w:w="90" w:type="dxa"/>
              <w:start w:w="110" w:type="dxa"/>
              <w:bottom w:w="90" w:type="dxa"/>
              <w:end w:w="110" w:type="dxa"/>
            </w:tcMar>
          </w:tcPr>
          <w:p>
            <w:r>
              <w:rPr>
                <w:rFonts w:ascii="Calibri" w:hAnsi="Calibri"/>
                <w:b/>
                <w:i w:val="0"/>
                <w:color w:val="07182D"/>
                <w:sz w:val="19"/>
              </w:rPr>
              <w:t>CONFIRMED PAID SALES</w:t>
            </w:r>
          </w:p>
        </w:tc>
        <w:tc>
          <w:tcPr>
            <w:tcW w:type="dxa" w:w="3374"/>
            <w:shd w:fill="F4F7FB"/>
            <w:tcMar>
              <w:top w:w="90" w:type="dxa"/>
              <w:start w:w="110" w:type="dxa"/>
              <w:bottom w:w="90" w:type="dxa"/>
              <w:end w:w="110" w:type="dxa"/>
            </w:tcMar>
          </w:tcPr>
          <w:p>
            <w:r>
              <w:rPr>
                <w:rFonts w:ascii="Calibri" w:hAnsi="Calibri"/>
                <w:b/>
                <w:i w:val="0"/>
                <w:color w:val="07182D"/>
                <w:sz w:val="19"/>
              </w:rPr>
              <w:t>20P PER SALE</w:t>
            </w:r>
          </w:p>
        </w:tc>
        <w:tc>
          <w:tcPr>
            <w:tcW w:type="dxa" w:w="3374"/>
            <w:shd w:fill="F4F7FB"/>
            <w:tcMar>
              <w:top w:w="90" w:type="dxa"/>
              <w:start w:w="110" w:type="dxa"/>
              <w:bottom w:w="90" w:type="dxa"/>
              <w:end w:w="110" w:type="dxa"/>
            </w:tcMar>
          </w:tcPr>
          <w:p>
            <w:r>
              <w:rPr>
                <w:rFonts w:ascii="Calibri" w:hAnsi="Calibri"/>
                <w:b/>
                <w:i w:val="0"/>
                <w:color w:val="07182D"/>
                <w:sz w:val="19"/>
              </w:rPr>
              <w:t>50P PER SALE</w:t>
            </w:r>
          </w:p>
        </w:tc>
      </w:tr>
      <w:tr>
        <w:tc>
          <w:tcPr>
            <w:tcW w:type="dxa" w:w="3374"/>
            <w:tcMar>
              <w:top w:w="90" w:type="dxa"/>
              <w:start w:w="110" w:type="dxa"/>
              <w:bottom w:w="90" w:type="dxa"/>
              <w:end w:w="110" w:type="dxa"/>
            </w:tcMar>
          </w:tcPr>
          <w:p>
            <w:r>
              <w:rPr>
                <w:rFonts w:ascii="Calibri" w:hAnsi="Calibri"/>
                <w:b w:val="0"/>
                <w:i w:val="0"/>
                <w:color w:val="07182D"/>
                <w:sz w:val="20"/>
              </w:rPr>
              <w:t>2,000</w:t>
            </w:r>
          </w:p>
        </w:tc>
        <w:tc>
          <w:tcPr>
            <w:tcW w:type="dxa" w:w="3374"/>
            <w:tcMar>
              <w:top w:w="90" w:type="dxa"/>
              <w:start w:w="110" w:type="dxa"/>
              <w:bottom w:w="90" w:type="dxa"/>
              <w:end w:w="110" w:type="dxa"/>
            </w:tcMar>
          </w:tcPr>
          <w:p>
            <w:r>
              <w:rPr>
                <w:rFonts w:ascii="Calibri" w:hAnsi="Calibri"/>
                <w:b w:val="0"/>
                <w:i w:val="0"/>
                <w:color w:val="07182D"/>
                <w:sz w:val="20"/>
              </w:rPr>
              <w:t>£400</w:t>
            </w:r>
          </w:p>
        </w:tc>
        <w:tc>
          <w:tcPr>
            <w:tcW w:type="dxa" w:w="3374"/>
            <w:tcMar>
              <w:top w:w="90" w:type="dxa"/>
              <w:start w:w="110" w:type="dxa"/>
              <w:bottom w:w="90" w:type="dxa"/>
              <w:end w:w="110" w:type="dxa"/>
            </w:tcMar>
          </w:tcPr>
          <w:p>
            <w:r>
              <w:rPr>
                <w:rFonts w:ascii="Calibri" w:hAnsi="Calibri"/>
                <w:b w:val="0"/>
                <w:i w:val="0"/>
                <w:color w:val="07182D"/>
                <w:sz w:val="20"/>
              </w:rPr>
              <w:t>£1,000</w:t>
            </w:r>
          </w:p>
        </w:tc>
      </w:tr>
      <w:tr>
        <w:tc>
          <w:tcPr>
            <w:tcW w:type="dxa" w:w="3374"/>
            <w:tcMar>
              <w:top w:w="90" w:type="dxa"/>
              <w:start w:w="110" w:type="dxa"/>
              <w:bottom w:w="90" w:type="dxa"/>
              <w:end w:w="110" w:type="dxa"/>
            </w:tcMar>
          </w:tcPr>
          <w:p>
            <w:r>
              <w:rPr>
                <w:rFonts w:ascii="Calibri" w:hAnsi="Calibri"/>
                <w:b w:val="0"/>
                <w:i w:val="0"/>
                <w:color w:val="07182D"/>
                <w:sz w:val="20"/>
              </w:rPr>
              <w:t>10,000</w:t>
            </w:r>
          </w:p>
        </w:tc>
        <w:tc>
          <w:tcPr>
            <w:tcW w:type="dxa" w:w="3374"/>
            <w:tcMar>
              <w:top w:w="90" w:type="dxa"/>
              <w:start w:w="110" w:type="dxa"/>
              <w:bottom w:w="90" w:type="dxa"/>
              <w:end w:w="110" w:type="dxa"/>
            </w:tcMar>
          </w:tcPr>
          <w:p>
            <w:r>
              <w:rPr>
                <w:rFonts w:ascii="Calibri" w:hAnsi="Calibri"/>
                <w:b w:val="0"/>
                <w:i w:val="0"/>
                <w:color w:val="07182D"/>
                <w:sz w:val="20"/>
              </w:rPr>
              <w:t>£2,000</w:t>
            </w:r>
          </w:p>
        </w:tc>
        <w:tc>
          <w:tcPr>
            <w:tcW w:type="dxa" w:w="3374"/>
            <w:tcMar>
              <w:top w:w="90" w:type="dxa"/>
              <w:start w:w="110" w:type="dxa"/>
              <w:bottom w:w="90" w:type="dxa"/>
              <w:end w:w="110" w:type="dxa"/>
            </w:tcMar>
          </w:tcPr>
          <w:p>
            <w:r>
              <w:rPr>
                <w:rFonts w:ascii="Calibri" w:hAnsi="Calibri"/>
                <w:b w:val="0"/>
                <w:i w:val="0"/>
                <w:color w:val="07182D"/>
                <w:sz w:val="20"/>
              </w:rPr>
              <w:t>£5,000</w:t>
            </w:r>
          </w:p>
        </w:tc>
      </w:tr>
      <w:tr>
        <w:tc>
          <w:tcPr>
            <w:tcW w:type="dxa" w:w="3374"/>
            <w:tcMar>
              <w:top w:w="90" w:type="dxa"/>
              <w:start w:w="110" w:type="dxa"/>
              <w:bottom w:w="90" w:type="dxa"/>
              <w:end w:w="110" w:type="dxa"/>
            </w:tcMar>
          </w:tcPr>
          <w:p>
            <w:r>
              <w:rPr>
                <w:rFonts w:ascii="Calibri" w:hAnsi="Calibri"/>
                <w:b w:val="0"/>
                <w:i w:val="0"/>
                <w:color w:val="07182D"/>
                <w:sz w:val="20"/>
              </w:rPr>
              <w:t>50,000</w:t>
            </w:r>
          </w:p>
        </w:tc>
        <w:tc>
          <w:tcPr>
            <w:tcW w:type="dxa" w:w="3374"/>
            <w:tcMar>
              <w:top w:w="90" w:type="dxa"/>
              <w:start w:w="110" w:type="dxa"/>
              <w:bottom w:w="90" w:type="dxa"/>
              <w:end w:w="110" w:type="dxa"/>
            </w:tcMar>
          </w:tcPr>
          <w:p>
            <w:r>
              <w:rPr>
                <w:rFonts w:ascii="Calibri" w:hAnsi="Calibri"/>
                <w:b w:val="0"/>
                <w:i w:val="0"/>
                <w:color w:val="07182D"/>
                <w:sz w:val="20"/>
              </w:rPr>
              <w:t>£10,000</w:t>
            </w:r>
          </w:p>
        </w:tc>
        <w:tc>
          <w:tcPr>
            <w:tcW w:type="dxa" w:w="3374"/>
            <w:tcMar>
              <w:top w:w="90" w:type="dxa"/>
              <w:start w:w="110" w:type="dxa"/>
              <w:bottom w:w="90" w:type="dxa"/>
              <w:end w:w="110" w:type="dxa"/>
            </w:tcMar>
          </w:tcPr>
          <w:p>
            <w:r>
              <w:rPr>
                <w:rFonts w:ascii="Calibri" w:hAnsi="Calibri"/>
                <w:b w:val="0"/>
                <w:i w:val="0"/>
                <w:color w:val="07182D"/>
                <w:sz w:val="20"/>
              </w:rPr>
              <w:t>£25,000</w:t>
            </w:r>
          </w:p>
        </w:tc>
      </w:tr>
      <w:tr>
        <w:tc>
          <w:tcPr>
            <w:tcW w:type="dxa" w:w="3374"/>
            <w:tcMar>
              <w:top w:w="90" w:type="dxa"/>
              <w:start w:w="110" w:type="dxa"/>
              <w:bottom w:w="90" w:type="dxa"/>
              <w:end w:w="110" w:type="dxa"/>
            </w:tcMar>
          </w:tcPr>
          <w:p>
            <w:r>
              <w:rPr>
                <w:rFonts w:ascii="Calibri" w:hAnsi="Calibri"/>
                <w:b w:val="0"/>
                <w:i w:val="0"/>
                <w:color w:val="07182D"/>
                <w:sz w:val="20"/>
              </w:rPr>
              <w:t>100,000</w:t>
            </w:r>
          </w:p>
        </w:tc>
        <w:tc>
          <w:tcPr>
            <w:tcW w:type="dxa" w:w="3374"/>
            <w:tcMar>
              <w:top w:w="90" w:type="dxa"/>
              <w:start w:w="110" w:type="dxa"/>
              <w:bottom w:w="90" w:type="dxa"/>
              <w:end w:w="110" w:type="dxa"/>
            </w:tcMar>
          </w:tcPr>
          <w:p>
            <w:r>
              <w:rPr>
                <w:rFonts w:ascii="Calibri" w:hAnsi="Calibri"/>
                <w:b w:val="0"/>
                <w:i w:val="0"/>
                <w:color w:val="07182D"/>
                <w:sz w:val="20"/>
              </w:rPr>
              <w:t>£20,000</w:t>
            </w:r>
          </w:p>
        </w:tc>
        <w:tc>
          <w:tcPr>
            <w:tcW w:type="dxa" w:w="3374"/>
            <w:tcMar>
              <w:top w:w="90" w:type="dxa"/>
              <w:start w:w="110" w:type="dxa"/>
              <w:bottom w:w="90" w:type="dxa"/>
              <w:end w:w="110" w:type="dxa"/>
            </w:tcMar>
          </w:tcPr>
          <w:p>
            <w:r>
              <w:rPr>
                <w:rFonts w:ascii="Calibri" w:hAnsi="Calibri"/>
                <w:b w:val="0"/>
                <w:i w:val="0"/>
                <w:color w:val="07182D"/>
                <w:sz w:val="20"/>
              </w:rPr>
              <w:t>£50,000</w:t>
            </w:r>
          </w:p>
        </w:tc>
      </w:tr>
    </w:tbl>
    <w:p>
      <w:pPr>
        <w:spacing w:after="80"/>
      </w:pPr>
    </w:p>
    <w:p>
      <w:pPr>
        <w:pStyle w:val="BodyText"/>
      </w:pPr>
      <w:r>
        <w:t>Only verified paid sales count. Refunds, chargebacks, App Store fees, provider/API costs, taxes and agreed deductions should be removed before final payout where relevant.</w:t>
      </w:r>
    </w:p>
    <w:p>
      <w:pPr>
        <w:pStyle w:val="Heading2"/>
      </w:pPr>
      <w:r>
        <w:t>Content Ideas That Make the App Easy to Understand</w:t>
      </w:r>
    </w:p>
    <w:p>
      <w:pPr>
        <w:pStyle w:val="ListBullet"/>
        <w:spacing w:after="80"/>
      </w:pPr>
      <w:r>
        <w:t>Scan a random boot-sale item and reveal the value range in under a minute.</w:t>
      </w:r>
    </w:p>
    <w:p>
      <w:pPr>
        <w:pStyle w:val="ListBullet"/>
        <w:spacing w:after="80"/>
      </w:pPr>
      <w:r>
        <w:t>Scan a laptop, tool, book, rare 50p coin, bottle, clothing item, or boxed product.</w:t>
      </w:r>
    </w:p>
    <w:p>
      <w:pPr>
        <w:pStyle w:val="ListBullet"/>
        <w:spacing w:after="80"/>
      </w:pPr>
      <w:r>
        <w:t>Run a car or van check and show the MOT/tax/value style output in action.</w:t>
      </w:r>
    </w:p>
    <w:p>
      <w:pPr>
        <w:pStyle w:val="ListBullet"/>
        <w:spacing w:after="80"/>
      </w:pPr>
      <w:r>
        <w:t>Turn the £50k van/car giveaway into a weekly scan-and-win content series.</w:t>
      </w:r>
    </w:p>
    <w:p>
      <w:pPr>
        <w:pStyle w:val="ListBullet"/>
        <w:spacing w:after="80"/>
      </w:pPr>
      <w:r>
        <w:t>Use a tracked creator code so sales can be attributed cleanly.</w:t>
      </w:r>
    </w:p>
    <w:p>
      <w:pPr>
        <w:pStyle w:val="Heading1"/>
      </w:pPr>
      <w:r>
        <w:t>Private Investment Discussion</w:t>
      </w:r>
    </w:p>
    <w:tbl>
      <w:tblPr>
        <w:tblW w:type="pct" w:w="5000"/>
        <w:jc w:val="center"/>
        <w:tblLook w:firstColumn="1" w:firstRow="1" w:lastColumn="0" w:lastRow="0" w:noHBand="0" w:noVBand="1" w:val="04A0"/>
      </w:tblPr>
      <w:tblGrid>
        <w:gridCol w:w="10123"/>
      </w:tblGrid>
      <w:tr>
        <w:tc>
          <w:tcPr>
            <w:tcW w:type="dxa" w:w="10123"/>
            <w:shd w:fill="FFF6DE"/>
            <w:tcBorders>
              <w:top w:val="single" w:sz="8" w:space="0" w:color="C9D7E8"/>
              <w:left w:val="single" w:sz="8" w:space="0" w:color="C9D7E8"/>
              <w:bottom w:val="single" w:sz="8" w:space="0" w:color="C9D7E8"/>
              <w:right w:val="single" w:sz="8" w:space="0" w:color="C9D7E8"/>
            </w:tcBorders>
            <w:tcMar>
              <w:top w:w="170" w:type="dxa"/>
              <w:start w:w="220" w:type="dxa"/>
              <w:bottom w:w="170" w:type="dxa"/>
              <w:end w:w="220" w:type="dxa"/>
            </w:tcMar>
            <w:vAlign w:val="center"/>
          </w:tcPr>
          <w:p>
            <w:pPr>
              <w:spacing w:after="80"/>
            </w:pPr>
            <w:r>
              <w:rPr>
                <w:rFonts w:ascii="Calibri" w:hAnsi="Calibri"/>
                <w:b/>
                <w:i w:val="0"/>
                <w:color w:val="B88200"/>
                <w:sz w:val="26"/>
              </w:rPr>
              <w:t>HEADLINE OFFER FOR PRIVATE CONVERSATIONS</w:t>
            </w:r>
          </w:p>
          <w:p>
            <w:pPr>
              <w:spacing w:after="0"/>
            </w:pPr>
            <w:r>
              <w:rPr>
                <w:rFonts w:ascii="Calibri" w:hAnsi="Calibri"/>
                <w:b w:val="0"/>
                <w:i w:val="0"/>
                <w:color w:val="07182D"/>
                <w:sz w:val="21"/>
              </w:rPr>
              <w:t>ValueVision is open to discussing £25,000 investment for 5% equity, subject to written agreement, due diligence, legal review, and company approval.</w:t>
            </w:r>
          </w:p>
        </w:tc>
      </w:tr>
    </w:tbl>
    <w:p>
      <w:pPr>
        <w:spacing w:after="40"/>
      </w:pPr>
    </w:p>
    <w:p>
      <w:pPr>
        <w:pStyle w:val="Heading2"/>
      </w:pPr>
      <w:r>
        <w:t>What the £25k Would Fund</w:t>
      </w:r>
    </w:p>
    <w:tbl>
      <w:tblPr>
        <w:tblStyle w:val="TableGrid"/>
        <w:tblW w:type="auto" w:w="0"/>
        <w:jc w:val="center"/>
        <w:tblLook w:firstColumn="1" w:firstRow="1" w:lastColumn="0" w:lastRow="0" w:noHBand="0" w:noVBand="1" w:val="04A0"/>
      </w:tblPr>
      <w:tblGrid>
        <w:gridCol w:w="5061"/>
        <w:gridCol w:w="5061"/>
      </w:tblGrid>
      <w:tr>
        <w:tc>
          <w:tcPr>
            <w:tcW w:type="dxa" w:w="5061"/>
            <w:shd w:fill="F4F7FB"/>
            <w:tcMar>
              <w:top w:w="90" w:type="dxa"/>
              <w:start w:w="110" w:type="dxa"/>
              <w:bottom w:w="90" w:type="dxa"/>
              <w:end w:w="110" w:type="dxa"/>
            </w:tcMar>
          </w:tcPr>
          <w:p>
            <w:r>
              <w:rPr>
                <w:rFonts w:ascii="Calibri" w:hAnsi="Calibri"/>
                <w:b/>
                <w:i w:val="0"/>
                <w:color w:val="07182D"/>
                <w:sz w:val="19"/>
              </w:rPr>
              <w:t>USE OF FUNDS</w:t>
            </w:r>
          </w:p>
        </w:tc>
        <w:tc>
          <w:tcPr>
            <w:tcW w:type="dxa" w:w="5061"/>
            <w:shd w:fill="F4F7FB"/>
            <w:tcMar>
              <w:top w:w="90" w:type="dxa"/>
              <w:start w:w="110" w:type="dxa"/>
              <w:bottom w:w="90" w:type="dxa"/>
              <w:end w:w="110" w:type="dxa"/>
            </w:tcMar>
          </w:tcPr>
          <w:p>
            <w:r>
              <w:rPr>
                <w:rFonts w:ascii="Calibri" w:hAnsi="Calibri"/>
                <w:b/>
                <w:i w:val="0"/>
                <w:color w:val="07182D"/>
                <w:sz w:val="19"/>
              </w:rPr>
              <w:t>WHY IT MATTERS</w:t>
            </w:r>
          </w:p>
        </w:tc>
      </w:tr>
      <w:tr>
        <w:tc>
          <w:tcPr>
            <w:tcW w:type="dxa" w:w="5061"/>
            <w:tcMar>
              <w:top w:w="90" w:type="dxa"/>
              <w:start w:w="110" w:type="dxa"/>
              <w:bottom w:w="90" w:type="dxa"/>
              <w:end w:w="110" w:type="dxa"/>
            </w:tcMar>
          </w:tcPr>
          <w:p>
            <w:r>
              <w:rPr>
                <w:rFonts w:ascii="Calibri" w:hAnsi="Calibri"/>
                <w:b w:val="0"/>
                <w:i w:val="0"/>
                <w:color w:val="07182D"/>
                <w:sz w:val="20"/>
              </w:rPr>
              <w:t>Launch marketing tests</w:t>
            </w:r>
          </w:p>
        </w:tc>
        <w:tc>
          <w:tcPr>
            <w:tcW w:type="dxa" w:w="5061"/>
            <w:tcMar>
              <w:top w:w="90" w:type="dxa"/>
              <w:start w:w="110" w:type="dxa"/>
              <w:bottom w:w="90" w:type="dxa"/>
              <w:end w:w="110" w:type="dxa"/>
            </w:tcMar>
          </w:tcPr>
          <w:p>
            <w:r>
              <w:rPr>
                <w:rFonts w:ascii="Calibri" w:hAnsi="Calibri"/>
                <w:b w:val="0"/>
                <w:i w:val="0"/>
                <w:color w:val="07182D"/>
                <w:sz w:val="20"/>
              </w:rPr>
              <w:t>Creator campaigns, paid social experiments, giveaway support and conversion tracking</w:t>
            </w:r>
          </w:p>
        </w:tc>
      </w:tr>
      <w:tr>
        <w:tc>
          <w:tcPr>
            <w:tcW w:type="dxa" w:w="5061"/>
            <w:tcMar>
              <w:top w:w="90" w:type="dxa"/>
              <w:start w:w="110" w:type="dxa"/>
              <w:bottom w:w="90" w:type="dxa"/>
              <w:end w:w="110" w:type="dxa"/>
            </w:tcMar>
          </w:tcPr>
          <w:p>
            <w:r>
              <w:rPr>
                <w:rFonts w:ascii="Calibri" w:hAnsi="Calibri"/>
                <w:b w:val="0"/>
                <w:i w:val="0"/>
                <w:color w:val="07182D"/>
                <w:sz w:val="20"/>
              </w:rPr>
              <w:t>Scanner accuracy work</w:t>
            </w:r>
          </w:p>
        </w:tc>
        <w:tc>
          <w:tcPr>
            <w:tcW w:type="dxa" w:w="5061"/>
            <w:tcMar>
              <w:top w:w="90" w:type="dxa"/>
              <w:start w:w="110" w:type="dxa"/>
              <w:bottom w:w="90" w:type="dxa"/>
              <w:end w:w="110" w:type="dxa"/>
            </w:tcMar>
          </w:tcPr>
          <w:p>
            <w:r>
              <w:rPr>
                <w:rFonts w:ascii="Calibri" w:hAnsi="Calibri"/>
                <w:b w:val="0"/>
                <w:i w:val="0"/>
                <w:color w:val="07182D"/>
                <w:sz w:val="20"/>
              </w:rPr>
              <w:t>Better item identification, pricing benchmarks, category tuning and QA</w:t>
            </w:r>
          </w:p>
        </w:tc>
      </w:tr>
      <w:tr>
        <w:tc>
          <w:tcPr>
            <w:tcW w:type="dxa" w:w="5061"/>
            <w:tcMar>
              <w:top w:w="90" w:type="dxa"/>
              <w:start w:w="110" w:type="dxa"/>
              <w:bottom w:w="90" w:type="dxa"/>
              <w:end w:w="110" w:type="dxa"/>
            </w:tcMar>
          </w:tcPr>
          <w:p>
            <w:r>
              <w:rPr>
                <w:rFonts w:ascii="Calibri" w:hAnsi="Calibri"/>
                <w:b w:val="0"/>
                <w:i w:val="0"/>
                <w:color w:val="07182D"/>
                <w:sz w:val="20"/>
              </w:rPr>
              <w:t>Vehicle-check reliability</w:t>
            </w:r>
          </w:p>
        </w:tc>
        <w:tc>
          <w:tcPr>
            <w:tcW w:type="dxa" w:w="5061"/>
            <w:tcMar>
              <w:top w:w="90" w:type="dxa"/>
              <w:start w:w="110" w:type="dxa"/>
              <w:bottom w:w="90" w:type="dxa"/>
              <w:end w:w="110" w:type="dxa"/>
            </w:tcMar>
          </w:tcPr>
          <w:p>
            <w:r>
              <w:rPr>
                <w:rFonts w:ascii="Calibri" w:hAnsi="Calibri"/>
                <w:b w:val="0"/>
                <w:i w:val="0"/>
                <w:color w:val="07182D"/>
                <w:sz w:val="20"/>
              </w:rPr>
              <w:t>Stable paid-check flow, backend monitoring, and cost protection</w:t>
            </w:r>
          </w:p>
        </w:tc>
      </w:tr>
      <w:tr>
        <w:tc>
          <w:tcPr>
            <w:tcW w:type="dxa" w:w="5061"/>
            <w:tcMar>
              <w:top w:w="90" w:type="dxa"/>
              <w:start w:w="110" w:type="dxa"/>
              <w:bottom w:w="90" w:type="dxa"/>
              <w:end w:w="110" w:type="dxa"/>
            </w:tcMar>
          </w:tcPr>
          <w:p>
            <w:r>
              <w:rPr>
                <w:rFonts w:ascii="Calibri" w:hAnsi="Calibri"/>
                <w:b w:val="0"/>
                <w:i w:val="0"/>
                <w:color w:val="07182D"/>
                <w:sz w:val="20"/>
              </w:rPr>
              <w:t>Own AI/API roadmap</w:t>
            </w:r>
          </w:p>
        </w:tc>
        <w:tc>
          <w:tcPr>
            <w:tcW w:type="dxa" w:w="5061"/>
            <w:tcMar>
              <w:top w:w="90" w:type="dxa"/>
              <w:start w:w="110" w:type="dxa"/>
              <w:bottom w:w="90" w:type="dxa"/>
              <w:end w:w="110" w:type="dxa"/>
            </w:tcMar>
          </w:tcPr>
          <w:p>
            <w:r>
              <w:rPr>
                <w:rFonts w:ascii="Calibri" w:hAnsi="Calibri"/>
                <w:b w:val="0"/>
                <w:i w:val="0"/>
                <w:color w:val="07182D"/>
                <w:sz w:val="20"/>
              </w:rPr>
              <w:t>Reduce reliance on third-party APIs over time and protect margins</w:t>
            </w:r>
          </w:p>
        </w:tc>
      </w:tr>
      <w:tr>
        <w:tc>
          <w:tcPr>
            <w:tcW w:type="dxa" w:w="5061"/>
            <w:tcMar>
              <w:top w:w="90" w:type="dxa"/>
              <w:start w:w="110" w:type="dxa"/>
              <w:bottom w:w="90" w:type="dxa"/>
              <w:end w:w="110" w:type="dxa"/>
            </w:tcMar>
          </w:tcPr>
          <w:p>
            <w:r>
              <w:rPr>
                <w:rFonts w:ascii="Calibri" w:hAnsi="Calibri"/>
                <w:b w:val="0"/>
                <w:i w:val="0"/>
                <w:color w:val="07182D"/>
                <w:sz w:val="20"/>
              </w:rPr>
              <w:t>Operations buffer</w:t>
            </w:r>
          </w:p>
        </w:tc>
        <w:tc>
          <w:tcPr>
            <w:tcW w:type="dxa" w:w="5061"/>
            <w:tcMar>
              <w:top w:w="90" w:type="dxa"/>
              <w:start w:w="110" w:type="dxa"/>
              <w:bottom w:w="90" w:type="dxa"/>
              <w:end w:w="110" w:type="dxa"/>
            </w:tcMar>
          </w:tcPr>
          <w:p>
            <w:r>
              <w:rPr>
                <w:rFonts w:ascii="Calibri" w:hAnsi="Calibri"/>
                <w:b w:val="0"/>
                <w:i w:val="0"/>
                <w:color w:val="07182D"/>
                <w:sz w:val="20"/>
              </w:rPr>
              <w:t>Server costs, App Store/Google Play setup, support and basic legal/admin</w:t>
            </w:r>
          </w:p>
        </w:tc>
      </w:tr>
    </w:tbl>
    <w:p>
      <w:pPr>
        <w:spacing w:after="80"/>
      </w:pPr>
    </w:p>
    <w:p>
      <w:pPr>
        <w:pStyle w:val="Heading2"/>
      </w:pPr>
      <w:r>
        <w:t>Illustrative Valuation</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2531"/>
            <w:shd w:fill="F4F7FB"/>
            <w:tcMar>
              <w:top w:w="90" w:type="dxa"/>
              <w:start w:w="110" w:type="dxa"/>
              <w:bottom w:w="90" w:type="dxa"/>
              <w:end w:w="110" w:type="dxa"/>
            </w:tcMar>
          </w:tcPr>
          <w:p>
            <w:r>
              <w:rPr>
                <w:rFonts w:ascii="Calibri" w:hAnsi="Calibri"/>
                <w:b/>
                <w:i w:val="0"/>
                <w:color w:val="07182D"/>
                <w:sz w:val="19"/>
              </w:rPr>
              <w:t>INVESTMENT</w:t>
            </w:r>
          </w:p>
        </w:tc>
        <w:tc>
          <w:tcPr>
            <w:tcW w:type="dxa" w:w="2531"/>
            <w:shd w:fill="F4F7FB"/>
            <w:tcMar>
              <w:top w:w="90" w:type="dxa"/>
              <w:start w:w="110" w:type="dxa"/>
              <w:bottom w:w="90" w:type="dxa"/>
              <w:end w:w="110" w:type="dxa"/>
            </w:tcMar>
          </w:tcPr>
          <w:p>
            <w:r>
              <w:rPr>
                <w:rFonts w:ascii="Calibri" w:hAnsi="Calibri"/>
                <w:b/>
                <w:i w:val="0"/>
                <w:color w:val="07182D"/>
                <w:sz w:val="19"/>
              </w:rPr>
              <w:t>EQUITY DISCUSSED</w:t>
            </w:r>
          </w:p>
        </w:tc>
        <w:tc>
          <w:tcPr>
            <w:tcW w:type="dxa" w:w="2531"/>
            <w:shd w:fill="F4F7FB"/>
            <w:tcMar>
              <w:top w:w="90" w:type="dxa"/>
              <w:start w:w="110" w:type="dxa"/>
              <w:bottom w:w="90" w:type="dxa"/>
              <w:end w:w="110" w:type="dxa"/>
            </w:tcMar>
          </w:tcPr>
          <w:p>
            <w:r>
              <w:rPr>
                <w:rFonts w:ascii="Calibri" w:hAnsi="Calibri"/>
                <w:b/>
                <w:i w:val="0"/>
                <w:color w:val="07182D"/>
                <w:sz w:val="19"/>
              </w:rPr>
              <w:t>IMPLIED POST-MONEY VALUATION</w:t>
            </w:r>
          </w:p>
        </w:tc>
        <w:tc>
          <w:tcPr>
            <w:tcW w:type="dxa" w:w="2531"/>
            <w:shd w:fill="F4F7FB"/>
            <w:tcMar>
              <w:top w:w="90" w:type="dxa"/>
              <w:start w:w="110" w:type="dxa"/>
              <w:bottom w:w="90" w:type="dxa"/>
              <w:end w:w="110" w:type="dxa"/>
            </w:tcMar>
          </w:tcPr>
          <w:p>
            <w:r>
              <w:rPr>
                <w:rFonts w:ascii="Calibri" w:hAnsi="Calibri"/>
                <w:b/>
                <w:i w:val="0"/>
                <w:color w:val="07182D"/>
                <w:sz w:val="19"/>
              </w:rPr>
              <w:t>IMPLIED PRE-MONEY VALUATION</w:t>
            </w:r>
          </w:p>
        </w:tc>
      </w:tr>
      <w:tr>
        <w:tc>
          <w:tcPr>
            <w:tcW w:type="dxa" w:w="2531"/>
            <w:tcMar>
              <w:top w:w="90" w:type="dxa"/>
              <w:start w:w="110" w:type="dxa"/>
              <w:bottom w:w="90" w:type="dxa"/>
              <w:end w:w="110" w:type="dxa"/>
            </w:tcMar>
          </w:tcPr>
          <w:p>
            <w:r>
              <w:rPr>
                <w:rFonts w:ascii="Calibri" w:hAnsi="Calibri"/>
                <w:b w:val="0"/>
                <w:i w:val="0"/>
                <w:color w:val="07182D"/>
                <w:sz w:val="20"/>
              </w:rPr>
              <w:t>£25,000</w:t>
            </w:r>
          </w:p>
        </w:tc>
        <w:tc>
          <w:tcPr>
            <w:tcW w:type="dxa" w:w="2531"/>
            <w:tcMar>
              <w:top w:w="90" w:type="dxa"/>
              <w:start w:w="110" w:type="dxa"/>
              <w:bottom w:w="90" w:type="dxa"/>
              <w:end w:w="110" w:type="dxa"/>
            </w:tcMar>
          </w:tcPr>
          <w:p>
            <w:r>
              <w:rPr>
                <w:rFonts w:ascii="Calibri" w:hAnsi="Calibri"/>
                <w:b w:val="0"/>
                <w:i w:val="0"/>
                <w:color w:val="07182D"/>
                <w:sz w:val="20"/>
              </w:rPr>
              <w:t>5%</w:t>
            </w:r>
          </w:p>
        </w:tc>
        <w:tc>
          <w:tcPr>
            <w:tcW w:type="dxa" w:w="2531"/>
            <w:tcMar>
              <w:top w:w="90" w:type="dxa"/>
              <w:start w:w="110" w:type="dxa"/>
              <w:bottom w:w="90" w:type="dxa"/>
              <w:end w:w="110" w:type="dxa"/>
            </w:tcMar>
          </w:tcPr>
          <w:p>
            <w:r>
              <w:rPr>
                <w:rFonts w:ascii="Calibri" w:hAnsi="Calibri"/>
                <w:b w:val="0"/>
                <w:i w:val="0"/>
                <w:color w:val="07182D"/>
                <w:sz w:val="20"/>
              </w:rPr>
              <w:t>£500,000</w:t>
            </w:r>
          </w:p>
        </w:tc>
        <w:tc>
          <w:tcPr>
            <w:tcW w:type="dxa" w:w="2531"/>
            <w:tcMar>
              <w:top w:w="90" w:type="dxa"/>
              <w:start w:w="110" w:type="dxa"/>
              <w:bottom w:w="90" w:type="dxa"/>
              <w:end w:w="110" w:type="dxa"/>
            </w:tcMar>
          </w:tcPr>
          <w:p>
            <w:r>
              <w:rPr>
                <w:rFonts w:ascii="Calibri" w:hAnsi="Calibri"/>
                <w:b w:val="0"/>
                <w:i w:val="0"/>
                <w:color w:val="07182D"/>
                <w:sz w:val="20"/>
              </w:rPr>
              <w:t>£475,000</w:t>
            </w:r>
          </w:p>
        </w:tc>
      </w:tr>
    </w:tbl>
    <w:p>
      <w:pPr>
        <w:spacing w:after="80"/>
      </w:pPr>
    </w:p>
    <w:p>
      <w:pPr>
        <w:pStyle w:val="BodyText"/>
      </w:pPr>
      <w:r>
        <w:t>This is an illustrative private discussion point, not a public offer and not a guarantee that shares will be issued on these terms. Final structure should be agreed with a solicitor/accountant before money is accepted.</w:t>
      </w:r>
    </w:p>
    <w:p>
      <w:pPr>
        <w:pStyle w:val="Heading2"/>
      </w:pPr>
      <w:r>
        <w:t>Investor Fit</w:t>
      </w:r>
    </w:p>
    <w:p>
      <w:pPr>
        <w:pStyle w:val="ListBullet"/>
        <w:spacing w:after="80"/>
      </w:pPr>
      <w:r>
        <w:t>Useful investors: creators, automotive operators, resellers, marketplace sellers, car traders, software founders, or people with distribution.</w:t>
      </w:r>
    </w:p>
    <w:p>
      <w:pPr>
        <w:pStyle w:val="ListBullet"/>
        <w:spacing w:after="80"/>
      </w:pPr>
      <w:r>
        <w:t>Ideal support: capital plus warm introductions, social reach, campaign ideas, vehicle/giveaway support, or pricing-data partnerships.</w:t>
      </w:r>
    </w:p>
    <w:p>
      <w:pPr>
        <w:pStyle w:val="ListBullet"/>
        <w:spacing w:after="80"/>
      </w:pPr>
      <w:r>
        <w:t>Not suitable for: anyone needing guaranteed returns, immediate dividends, or a zero-risk investment.</w:t>
      </w:r>
    </w:p>
    <w:p>
      <w:pPr>
        <w:pStyle w:val="Heading1"/>
      </w:pPr>
      <w:r>
        <w:t>Example Launch Economics</w:t>
      </w:r>
    </w:p>
    <w:p>
      <w:pPr>
        <w:pStyle w:val="BodyText"/>
      </w:pPr>
      <w:r>
        <w:t>These examples are simple scenario models, not forecasts or promises. Their purpose is to show why creator distribution matters and how partner upside can be measured if the campaign performs.</w:t>
      </w:r>
    </w:p>
    <w:tbl>
      <w:tblPr>
        <w:tblW w:type="pct" w:w="5000"/>
        <w:jc w:val="center"/>
        <w:tblLook w:firstColumn="1" w:firstRow="1" w:lastColumn="0" w:lastRow="0" w:noHBand="0" w:noVBand="1" w:val="04A0"/>
      </w:tblPr>
      <w:tblGrid>
        <w:gridCol w:w="10123"/>
      </w:tblGrid>
      <w:tr>
        <w:tc>
          <w:tcPr>
            <w:tcW w:type="dxa" w:w="10123"/>
            <w:shd w:fill="FFF6DE"/>
            <w:tcBorders>
              <w:top w:val="single" w:sz="8" w:space="0" w:color="C9D7E8"/>
              <w:left w:val="single" w:sz="8" w:space="0" w:color="C9D7E8"/>
              <w:bottom w:val="single" w:sz="8" w:space="0" w:color="C9D7E8"/>
              <w:right w:val="single" w:sz="8" w:space="0" w:color="C9D7E8"/>
            </w:tcBorders>
            <w:tcMar>
              <w:top w:w="170" w:type="dxa"/>
              <w:start w:w="220" w:type="dxa"/>
              <w:bottom w:w="170" w:type="dxa"/>
              <w:end w:w="220" w:type="dxa"/>
            </w:tcMar>
            <w:vAlign w:val="center"/>
          </w:tcPr>
          <w:p>
            <w:pPr>
              <w:spacing w:after="80"/>
            </w:pPr>
            <w:r>
              <w:rPr>
                <w:rFonts w:ascii="Calibri" w:hAnsi="Calibri"/>
                <w:b/>
                <w:i w:val="0"/>
                <w:color w:val="B88200"/>
                <w:sz w:val="26"/>
              </w:rPr>
              <w:t>HIGH-REACH SOCIAL MEDIA SCENARIO</w:t>
            </w:r>
          </w:p>
          <w:p>
            <w:pPr>
              <w:spacing w:after="0"/>
            </w:pPr>
            <w:r>
              <w:rPr>
                <w:rFonts w:ascii="Calibri" w:hAnsi="Calibri"/>
                <w:b w:val="0"/>
                <w:i w:val="0"/>
                <w:color w:val="07182D"/>
                <w:sz w:val="21"/>
              </w:rPr>
              <w:t>If creator and social media partners help ValueVision reach 40 million people, and 1% of that audience becomes a paying monthly user, that equals 400,000 users. At £10/month, that is £4,000,000 gross monthly subscription revenue before App Store fees, refunds, taxes, provider costs, support costs, marketing spend and other operating costs.</w:t>
            </w:r>
          </w:p>
        </w:tc>
      </w:tr>
    </w:tbl>
    <w:p>
      <w:pPr>
        <w:spacing w:after="40"/>
      </w:pPr>
    </w:p>
    <w:tbl>
      <w:tblPr>
        <w:tblStyle w:val="TableGrid"/>
        <w:tblW w:type="auto" w:w="0"/>
        <w:jc w:val="center"/>
        <w:tblLook w:firstColumn="1" w:firstRow="1" w:lastColumn="0" w:lastRow="0" w:noHBand="0" w:noVBand="1" w:val="04A0"/>
      </w:tblPr>
      <w:tblGrid>
        <w:gridCol w:w="2025"/>
        <w:gridCol w:w="2025"/>
        <w:gridCol w:w="2025"/>
        <w:gridCol w:w="2025"/>
        <w:gridCol w:w="2025"/>
      </w:tblGrid>
      <w:tr>
        <w:tc>
          <w:tcPr>
            <w:tcW w:type="dxa" w:w="2025"/>
            <w:shd w:fill="F4F7FB"/>
            <w:tcMar>
              <w:top w:w="90" w:type="dxa"/>
              <w:start w:w="110" w:type="dxa"/>
              <w:bottom w:w="90" w:type="dxa"/>
              <w:end w:w="110" w:type="dxa"/>
            </w:tcMar>
          </w:tcPr>
          <w:p>
            <w:r>
              <w:rPr>
                <w:rFonts w:ascii="Calibri" w:hAnsi="Calibri"/>
                <w:b/>
                <w:i w:val="0"/>
                <w:color w:val="07182D"/>
                <w:sz w:val="19"/>
              </w:rPr>
              <w:t>REACH</w:t>
            </w:r>
          </w:p>
        </w:tc>
        <w:tc>
          <w:tcPr>
            <w:tcW w:type="dxa" w:w="2025"/>
            <w:shd w:fill="F4F7FB"/>
            <w:tcMar>
              <w:top w:w="90" w:type="dxa"/>
              <w:start w:w="110" w:type="dxa"/>
              <w:bottom w:w="90" w:type="dxa"/>
              <w:end w:w="110" w:type="dxa"/>
            </w:tcMar>
          </w:tcPr>
          <w:p>
            <w:r>
              <w:rPr>
                <w:rFonts w:ascii="Calibri" w:hAnsi="Calibri"/>
                <w:b/>
                <w:i w:val="0"/>
                <w:color w:val="07182D"/>
                <w:sz w:val="19"/>
              </w:rPr>
              <w:t>CONVERSION TO PAID</w:t>
            </w:r>
          </w:p>
        </w:tc>
        <w:tc>
          <w:tcPr>
            <w:tcW w:type="dxa" w:w="2025"/>
            <w:shd w:fill="F4F7FB"/>
            <w:tcMar>
              <w:top w:w="90" w:type="dxa"/>
              <w:start w:w="110" w:type="dxa"/>
              <w:bottom w:w="90" w:type="dxa"/>
              <w:end w:w="110" w:type="dxa"/>
            </w:tcMar>
          </w:tcPr>
          <w:p>
            <w:r>
              <w:rPr>
                <w:rFonts w:ascii="Calibri" w:hAnsi="Calibri"/>
                <w:b/>
                <w:i w:val="0"/>
                <w:color w:val="07182D"/>
                <w:sz w:val="19"/>
              </w:rPr>
              <w:t>PAYING USERS</w:t>
            </w:r>
          </w:p>
        </w:tc>
        <w:tc>
          <w:tcPr>
            <w:tcW w:type="dxa" w:w="2025"/>
            <w:shd w:fill="F4F7FB"/>
            <w:tcMar>
              <w:top w:w="90" w:type="dxa"/>
              <w:start w:w="110" w:type="dxa"/>
              <w:bottom w:w="90" w:type="dxa"/>
              <w:end w:w="110" w:type="dxa"/>
            </w:tcMar>
          </w:tcPr>
          <w:p>
            <w:r>
              <w:rPr>
                <w:rFonts w:ascii="Calibri" w:hAnsi="Calibri"/>
                <w:b/>
                <w:i w:val="0"/>
                <w:color w:val="07182D"/>
                <w:sz w:val="19"/>
              </w:rPr>
              <w:t>MONTHLY PRICE</w:t>
            </w:r>
          </w:p>
        </w:tc>
        <w:tc>
          <w:tcPr>
            <w:tcW w:type="dxa" w:w="2025"/>
            <w:shd w:fill="F4F7FB"/>
            <w:tcMar>
              <w:top w:w="90" w:type="dxa"/>
              <w:start w:w="110" w:type="dxa"/>
              <w:bottom w:w="90" w:type="dxa"/>
              <w:end w:w="110" w:type="dxa"/>
            </w:tcMar>
          </w:tcPr>
          <w:p>
            <w:r>
              <w:rPr>
                <w:rFonts w:ascii="Calibri" w:hAnsi="Calibri"/>
                <w:b/>
                <w:i w:val="0"/>
                <w:color w:val="07182D"/>
                <w:sz w:val="19"/>
              </w:rPr>
              <w:t>GROSS MONTHLY REVENUE</w:t>
            </w:r>
          </w:p>
        </w:tc>
      </w:tr>
      <w:tr>
        <w:tc>
          <w:tcPr>
            <w:tcW w:type="dxa" w:w="2025"/>
            <w:tcMar>
              <w:top w:w="90" w:type="dxa"/>
              <w:start w:w="110" w:type="dxa"/>
              <w:bottom w:w="90" w:type="dxa"/>
              <w:end w:w="110" w:type="dxa"/>
            </w:tcMar>
          </w:tcPr>
          <w:p>
            <w:r>
              <w:rPr>
                <w:rFonts w:ascii="Calibri" w:hAnsi="Calibri"/>
                <w:b w:val="0"/>
                <w:i w:val="0"/>
                <w:color w:val="07182D"/>
                <w:sz w:val="20"/>
              </w:rPr>
              <w:t>40,000,000 people</w:t>
            </w:r>
          </w:p>
        </w:tc>
        <w:tc>
          <w:tcPr>
            <w:tcW w:type="dxa" w:w="2025"/>
            <w:tcMar>
              <w:top w:w="90" w:type="dxa"/>
              <w:start w:w="110" w:type="dxa"/>
              <w:bottom w:w="90" w:type="dxa"/>
              <w:end w:w="110" w:type="dxa"/>
            </w:tcMar>
          </w:tcPr>
          <w:p>
            <w:r>
              <w:rPr>
                <w:rFonts w:ascii="Calibri" w:hAnsi="Calibri"/>
                <w:b w:val="0"/>
                <w:i w:val="0"/>
                <w:color w:val="07182D"/>
                <w:sz w:val="20"/>
              </w:rPr>
              <w:t>0.25%</w:t>
            </w:r>
          </w:p>
        </w:tc>
        <w:tc>
          <w:tcPr>
            <w:tcW w:type="dxa" w:w="2025"/>
            <w:tcMar>
              <w:top w:w="90" w:type="dxa"/>
              <w:start w:w="110" w:type="dxa"/>
              <w:bottom w:w="90" w:type="dxa"/>
              <w:end w:w="110" w:type="dxa"/>
            </w:tcMar>
          </w:tcPr>
          <w:p>
            <w:r>
              <w:rPr>
                <w:rFonts w:ascii="Calibri" w:hAnsi="Calibri"/>
                <w:b w:val="0"/>
                <w:i w:val="0"/>
                <w:color w:val="07182D"/>
                <w:sz w:val="20"/>
              </w:rPr>
              <w:t>100,000</w:t>
            </w:r>
          </w:p>
        </w:tc>
        <w:tc>
          <w:tcPr>
            <w:tcW w:type="dxa" w:w="2025"/>
            <w:tcMar>
              <w:top w:w="90" w:type="dxa"/>
              <w:start w:w="110" w:type="dxa"/>
              <w:bottom w:w="90" w:type="dxa"/>
              <w:end w:w="110" w:type="dxa"/>
            </w:tcMar>
          </w:tcPr>
          <w:p>
            <w:r>
              <w:rPr>
                <w:rFonts w:ascii="Calibri" w:hAnsi="Calibri"/>
                <w:b w:val="0"/>
                <w:i w:val="0"/>
                <w:color w:val="07182D"/>
                <w:sz w:val="20"/>
              </w:rPr>
              <w:t>£10</w:t>
            </w:r>
          </w:p>
        </w:tc>
        <w:tc>
          <w:tcPr>
            <w:tcW w:type="dxa" w:w="2025"/>
            <w:tcMar>
              <w:top w:w="90" w:type="dxa"/>
              <w:start w:w="110" w:type="dxa"/>
              <w:bottom w:w="90" w:type="dxa"/>
              <w:end w:w="110" w:type="dxa"/>
            </w:tcMar>
          </w:tcPr>
          <w:p>
            <w:r>
              <w:rPr>
                <w:rFonts w:ascii="Calibri" w:hAnsi="Calibri"/>
                <w:b w:val="0"/>
                <w:i w:val="0"/>
                <w:color w:val="07182D"/>
                <w:sz w:val="20"/>
              </w:rPr>
              <w:t>£1,000,000</w:t>
            </w:r>
          </w:p>
        </w:tc>
      </w:tr>
      <w:tr>
        <w:tc>
          <w:tcPr>
            <w:tcW w:type="dxa" w:w="2025"/>
            <w:tcMar>
              <w:top w:w="90" w:type="dxa"/>
              <w:start w:w="110" w:type="dxa"/>
              <w:bottom w:w="90" w:type="dxa"/>
              <w:end w:w="110" w:type="dxa"/>
            </w:tcMar>
          </w:tcPr>
          <w:p>
            <w:r>
              <w:rPr>
                <w:rFonts w:ascii="Calibri" w:hAnsi="Calibri"/>
                <w:b w:val="0"/>
                <w:i w:val="0"/>
                <w:color w:val="07182D"/>
                <w:sz w:val="20"/>
              </w:rPr>
              <w:t>40,000,000 people</w:t>
            </w:r>
          </w:p>
        </w:tc>
        <w:tc>
          <w:tcPr>
            <w:tcW w:type="dxa" w:w="2025"/>
            <w:tcMar>
              <w:top w:w="90" w:type="dxa"/>
              <w:start w:w="110" w:type="dxa"/>
              <w:bottom w:w="90" w:type="dxa"/>
              <w:end w:w="110" w:type="dxa"/>
            </w:tcMar>
          </w:tcPr>
          <w:p>
            <w:r>
              <w:rPr>
                <w:rFonts w:ascii="Calibri" w:hAnsi="Calibri"/>
                <w:b w:val="0"/>
                <w:i w:val="0"/>
                <w:color w:val="07182D"/>
                <w:sz w:val="20"/>
              </w:rPr>
              <w:t>0.50%</w:t>
            </w:r>
          </w:p>
        </w:tc>
        <w:tc>
          <w:tcPr>
            <w:tcW w:type="dxa" w:w="2025"/>
            <w:tcMar>
              <w:top w:w="90" w:type="dxa"/>
              <w:start w:w="110" w:type="dxa"/>
              <w:bottom w:w="90" w:type="dxa"/>
              <w:end w:w="110" w:type="dxa"/>
            </w:tcMar>
          </w:tcPr>
          <w:p>
            <w:r>
              <w:rPr>
                <w:rFonts w:ascii="Calibri" w:hAnsi="Calibri"/>
                <w:b w:val="0"/>
                <w:i w:val="0"/>
                <w:color w:val="07182D"/>
                <w:sz w:val="20"/>
              </w:rPr>
              <w:t>200,000</w:t>
            </w:r>
          </w:p>
        </w:tc>
        <w:tc>
          <w:tcPr>
            <w:tcW w:type="dxa" w:w="2025"/>
            <w:tcMar>
              <w:top w:w="90" w:type="dxa"/>
              <w:start w:w="110" w:type="dxa"/>
              <w:bottom w:w="90" w:type="dxa"/>
              <w:end w:w="110" w:type="dxa"/>
            </w:tcMar>
          </w:tcPr>
          <w:p>
            <w:r>
              <w:rPr>
                <w:rFonts w:ascii="Calibri" w:hAnsi="Calibri"/>
                <w:b w:val="0"/>
                <w:i w:val="0"/>
                <w:color w:val="07182D"/>
                <w:sz w:val="20"/>
              </w:rPr>
              <w:t>£10</w:t>
            </w:r>
          </w:p>
        </w:tc>
        <w:tc>
          <w:tcPr>
            <w:tcW w:type="dxa" w:w="2025"/>
            <w:tcMar>
              <w:top w:w="90" w:type="dxa"/>
              <w:start w:w="110" w:type="dxa"/>
              <w:bottom w:w="90" w:type="dxa"/>
              <w:end w:w="110" w:type="dxa"/>
            </w:tcMar>
          </w:tcPr>
          <w:p>
            <w:r>
              <w:rPr>
                <w:rFonts w:ascii="Calibri" w:hAnsi="Calibri"/>
                <w:b w:val="0"/>
                <w:i w:val="0"/>
                <w:color w:val="07182D"/>
                <w:sz w:val="20"/>
              </w:rPr>
              <w:t>£2,000,000</w:t>
            </w:r>
          </w:p>
        </w:tc>
      </w:tr>
      <w:tr>
        <w:tc>
          <w:tcPr>
            <w:tcW w:type="dxa" w:w="2025"/>
            <w:tcMar>
              <w:top w:w="90" w:type="dxa"/>
              <w:start w:w="110" w:type="dxa"/>
              <w:bottom w:w="90" w:type="dxa"/>
              <w:end w:w="110" w:type="dxa"/>
            </w:tcMar>
          </w:tcPr>
          <w:p>
            <w:r>
              <w:rPr>
                <w:rFonts w:ascii="Calibri" w:hAnsi="Calibri"/>
                <w:b w:val="0"/>
                <w:i w:val="0"/>
                <w:color w:val="07182D"/>
                <w:sz w:val="20"/>
              </w:rPr>
              <w:t>40,000,000 people</w:t>
            </w:r>
          </w:p>
        </w:tc>
        <w:tc>
          <w:tcPr>
            <w:tcW w:type="dxa" w:w="2025"/>
            <w:tcMar>
              <w:top w:w="90" w:type="dxa"/>
              <w:start w:w="110" w:type="dxa"/>
              <w:bottom w:w="90" w:type="dxa"/>
              <w:end w:w="110" w:type="dxa"/>
            </w:tcMar>
          </w:tcPr>
          <w:p>
            <w:r>
              <w:rPr>
                <w:rFonts w:ascii="Calibri" w:hAnsi="Calibri"/>
                <w:b w:val="0"/>
                <w:i w:val="0"/>
                <w:color w:val="07182D"/>
                <w:sz w:val="20"/>
              </w:rPr>
              <w:t>1.00%</w:t>
            </w:r>
          </w:p>
        </w:tc>
        <w:tc>
          <w:tcPr>
            <w:tcW w:type="dxa" w:w="2025"/>
            <w:tcMar>
              <w:top w:w="90" w:type="dxa"/>
              <w:start w:w="110" w:type="dxa"/>
              <w:bottom w:w="90" w:type="dxa"/>
              <w:end w:w="110" w:type="dxa"/>
            </w:tcMar>
          </w:tcPr>
          <w:p>
            <w:r>
              <w:rPr>
                <w:rFonts w:ascii="Calibri" w:hAnsi="Calibri"/>
                <w:b w:val="0"/>
                <w:i w:val="0"/>
                <w:color w:val="07182D"/>
                <w:sz w:val="20"/>
              </w:rPr>
              <w:t>400,000</w:t>
            </w:r>
          </w:p>
        </w:tc>
        <w:tc>
          <w:tcPr>
            <w:tcW w:type="dxa" w:w="2025"/>
            <w:tcMar>
              <w:top w:w="90" w:type="dxa"/>
              <w:start w:w="110" w:type="dxa"/>
              <w:bottom w:w="90" w:type="dxa"/>
              <w:end w:w="110" w:type="dxa"/>
            </w:tcMar>
          </w:tcPr>
          <w:p>
            <w:r>
              <w:rPr>
                <w:rFonts w:ascii="Calibri" w:hAnsi="Calibri"/>
                <w:b w:val="0"/>
                <w:i w:val="0"/>
                <w:color w:val="07182D"/>
                <w:sz w:val="20"/>
              </w:rPr>
              <w:t>£10</w:t>
            </w:r>
          </w:p>
        </w:tc>
        <w:tc>
          <w:tcPr>
            <w:tcW w:type="dxa" w:w="2025"/>
            <w:tcMar>
              <w:top w:w="90" w:type="dxa"/>
              <w:start w:w="110" w:type="dxa"/>
              <w:bottom w:w="90" w:type="dxa"/>
              <w:end w:w="110" w:type="dxa"/>
            </w:tcMar>
          </w:tcPr>
          <w:p>
            <w:r>
              <w:rPr>
                <w:rFonts w:ascii="Calibri" w:hAnsi="Calibri"/>
                <w:b w:val="0"/>
                <w:i w:val="0"/>
                <w:color w:val="07182D"/>
                <w:sz w:val="20"/>
              </w:rPr>
              <w:t>£4,000,000</w:t>
            </w:r>
          </w:p>
        </w:tc>
      </w:tr>
    </w:tbl>
    <w:p>
      <w:pPr>
        <w:spacing w:after="80"/>
      </w:pPr>
    </w:p>
    <w:p>
      <w:pPr>
        <w:pStyle w:val="BodyText"/>
      </w:pPr>
      <w:r>
        <w:t>This is the reason social partners matter: even a small percentage conversion can become a serious recurring-revenue opportunity if the product, pricing, and retention work. The actual outcome depends on app quality, trust, review ratings, pricing, retention, refunds, platform fees, and campaign execution.</w:t>
      </w:r>
    </w:p>
    <w:p>
      <w:pPr>
        <w:pStyle w:val="Heading2"/>
      </w:pPr>
      <w:r>
        <w:t>Creator Profit Share Examples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F4F7FB"/>
            <w:tcMar>
              <w:top w:w="90" w:type="dxa"/>
              <w:start w:w="110" w:type="dxa"/>
              <w:bottom w:w="90" w:type="dxa"/>
              <w:end w:w="110" w:type="dxa"/>
            </w:tcMar>
          </w:tcPr>
          <w:p>
            <w:r>
              <w:rPr>
                <w:rFonts w:ascii="Calibri" w:hAnsi="Calibri"/>
                <w:b/>
                <w:i w:val="0"/>
                <w:color w:val="07182D"/>
                <w:sz w:val="19"/>
              </w:rPr>
              <w:t>TRACKED NET CAMPAIGN PROFIT</w:t>
            </w:r>
          </w:p>
        </w:tc>
        <w:tc>
          <w:tcPr>
            <w:tcW w:type="dxa" w:w="3374"/>
            <w:shd w:fill="F4F7FB"/>
            <w:tcMar>
              <w:top w:w="90" w:type="dxa"/>
              <w:start w:w="110" w:type="dxa"/>
              <w:bottom w:w="90" w:type="dxa"/>
              <w:end w:w="110" w:type="dxa"/>
            </w:tcMar>
          </w:tcPr>
          <w:p>
            <w:r>
              <w:rPr>
                <w:rFonts w:ascii="Calibri" w:hAnsi="Calibri"/>
                <w:b/>
                <w:i w:val="0"/>
                <w:color w:val="07182D"/>
                <w:sz w:val="19"/>
              </w:rPr>
              <w:t>1% PARTNER SHARE</w:t>
            </w:r>
          </w:p>
        </w:tc>
        <w:tc>
          <w:tcPr>
            <w:tcW w:type="dxa" w:w="3374"/>
            <w:shd w:fill="F4F7FB"/>
            <w:tcMar>
              <w:top w:w="90" w:type="dxa"/>
              <w:start w:w="110" w:type="dxa"/>
              <w:bottom w:w="90" w:type="dxa"/>
              <w:end w:w="110" w:type="dxa"/>
            </w:tcMar>
          </w:tcPr>
          <w:p>
            <w:r>
              <w:rPr>
                <w:rFonts w:ascii="Calibri" w:hAnsi="Calibri"/>
                <w:b/>
                <w:i w:val="0"/>
                <w:color w:val="07182D"/>
                <w:sz w:val="19"/>
              </w:rPr>
              <w:t>WHO THIS SUITS</w:t>
            </w:r>
          </w:p>
        </w:tc>
      </w:tr>
      <w:tr>
        <w:tc>
          <w:tcPr>
            <w:tcW w:type="dxa" w:w="3374"/>
            <w:tcMar>
              <w:top w:w="90" w:type="dxa"/>
              <w:start w:w="110" w:type="dxa"/>
              <w:bottom w:w="90" w:type="dxa"/>
              <w:end w:w="110" w:type="dxa"/>
            </w:tcMar>
          </w:tcPr>
          <w:p>
            <w:r>
              <w:rPr>
                <w:rFonts w:ascii="Calibri" w:hAnsi="Calibri"/>
                <w:b w:val="0"/>
                <w:i w:val="0"/>
                <w:color w:val="07182D"/>
                <w:sz w:val="20"/>
              </w:rPr>
              <w:t>£25,000</w:t>
            </w:r>
          </w:p>
        </w:tc>
        <w:tc>
          <w:tcPr>
            <w:tcW w:type="dxa" w:w="3374"/>
            <w:tcMar>
              <w:top w:w="90" w:type="dxa"/>
              <w:start w:w="110" w:type="dxa"/>
              <w:bottom w:w="90" w:type="dxa"/>
              <w:end w:w="110" w:type="dxa"/>
            </w:tcMar>
          </w:tcPr>
          <w:p>
            <w:r>
              <w:rPr>
                <w:rFonts w:ascii="Calibri" w:hAnsi="Calibri"/>
                <w:b w:val="0"/>
                <w:i w:val="0"/>
                <w:color w:val="07182D"/>
                <w:sz w:val="20"/>
              </w:rPr>
              <w:t>£250</w:t>
            </w:r>
          </w:p>
        </w:tc>
        <w:tc>
          <w:tcPr>
            <w:tcW w:type="dxa" w:w="3374"/>
            <w:tcMar>
              <w:top w:w="90" w:type="dxa"/>
              <w:start w:w="110" w:type="dxa"/>
              <w:bottom w:w="90" w:type="dxa"/>
              <w:end w:w="110" w:type="dxa"/>
            </w:tcMar>
          </w:tcPr>
          <w:p>
            <w:r>
              <w:rPr>
                <w:rFonts w:ascii="Calibri" w:hAnsi="Calibri"/>
                <w:b w:val="0"/>
                <w:i w:val="0"/>
                <w:color w:val="07182D"/>
                <w:sz w:val="20"/>
              </w:rPr>
              <w:t>Small launch campaign</w:t>
            </w:r>
          </w:p>
        </w:tc>
      </w:tr>
      <w:tr>
        <w:tc>
          <w:tcPr>
            <w:tcW w:type="dxa" w:w="3374"/>
            <w:tcMar>
              <w:top w:w="90" w:type="dxa"/>
              <w:start w:w="110" w:type="dxa"/>
              <w:bottom w:w="90" w:type="dxa"/>
              <w:end w:w="110" w:type="dxa"/>
            </w:tcMar>
          </w:tcPr>
          <w:p>
            <w:r>
              <w:rPr>
                <w:rFonts w:ascii="Calibri" w:hAnsi="Calibri"/>
                <w:b w:val="0"/>
                <w:i w:val="0"/>
                <w:color w:val="07182D"/>
                <w:sz w:val="20"/>
              </w:rPr>
              <w:t>£100,000</w:t>
            </w:r>
          </w:p>
        </w:tc>
        <w:tc>
          <w:tcPr>
            <w:tcW w:type="dxa" w:w="3374"/>
            <w:tcMar>
              <w:top w:w="90" w:type="dxa"/>
              <w:start w:w="110" w:type="dxa"/>
              <w:bottom w:w="90" w:type="dxa"/>
              <w:end w:w="110" w:type="dxa"/>
            </w:tcMar>
          </w:tcPr>
          <w:p>
            <w:r>
              <w:rPr>
                <w:rFonts w:ascii="Calibri" w:hAnsi="Calibri"/>
                <w:b w:val="0"/>
                <w:i w:val="0"/>
                <w:color w:val="07182D"/>
                <w:sz w:val="20"/>
              </w:rPr>
              <w:t>£1,000</w:t>
            </w:r>
          </w:p>
        </w:tc>
        <w:tc>
          <w:tcPr>
            <w:tcW w:type="dxa" w:w="3374"/>
            <w:tcMar>
              <w:top w:w="90" w:type="dxa"/>
              <w:start w:w="110" w:type="dxa"/>
              <w:bottom w:w="90" w:type="dxa"/>
              <w:end w:w="110" w:type="dxa"/>
            </w:tcMar>
          </w:tcPr>
          <w:p>
            <w:r>
              <w:rPr>
                <w:rFonts w:ascii="Calibri" w:hAnsi="Calibri"/>
                <w:b w:val="0"/>
                <w:i w:val="0"/>
                <w:color w:val="07182D"/>
                <w:sz w:val="20"/>
              </w:rPr>
              <w:t>Strong creator campaign</w:t>
            </w:r>
          </w:p>
        </w:tc>
      </w:tr>
      <w:tr>
        <w:tc>
          <w:tcPr>
            <w:tcW w:type="dxa" w:w="3374"/>
            <w:tcMar>
              <w:top w:w="90" w:type="dxa"/>
              <w:start w:w="110" w:type="dxa"/>
              <w:bottom w:w="90" w:type="dxa"/>
              <w:end w:w="110" w:type="dxa"/>
            </w:tcMar>
          </w:tcPr>
          <w:p>
            <w:r>
              <w:rPr>
                <w:rFonts w:ascii="Calibri" w:hAnsi="Calibri"/>
                <w:b w:val="0"/>
                <w:i w:val="0"/>
                <w:color w:val="07182D"/>
                <w:sz w:val="20"/>
              </w:rPr>
              <w:t>£250,000</w:t>
            </w:r>
          </w:p>
        </w:tc>
        <w:tc>
          <w:tcPr>
            <w:tcW w:type="dxa" w:w="3374"/>
            <w:tcMar>
              <w:top w:w="90" w:type="dxa"/>
              <w:start w:w="110" w:type="dxa"/>
              <w:bottom w:w="90" w:type="dxa"/>
              <w:end w:w="110" w:type="dxa"/>
            </w:tcMar>
          </w:tcPr>
          <w:p>
            <w:r>
              <w:rPr>
                <w:rFonts w:ascii="Calibri" w:hAnsi="Calibri"/>
                <w:b w:val="0"/>
                <w:i w:val="0"/>
                <w:color w:val="07182D"/>
                <w:sz w:val="20"/>
              </w:rPr>
              <w:t>£2,500</w:t>
            </w:r>
          </w:p>
        </w:tc>
        <w:tc>
          <w:tcPr>
            <w:tcW w:type="dxa" w:w="3374"/>
            <w:tcMar>
              <w:top w:w="90" w:type="dxa"/>
              <w:start w:w="110" w:type="dxa"/>
              <w:bottom w:w="90" w:type="dxa"/>
              <w:end w:w="110" w:type="dxa"/>
            </w:tcMar>
          </w:tcPr>
          <w:p>
            <w:r>
              <w:rPr>
                <w:rFonts w:ascii="Calibri" w:hAnsi="Calibri"/>
                <w:b w:val="0"/>
                <w:i w:val="0"/>
                <w:color w:val="07182D"/>
                <w:sz w:val="20"/>
              </w:rPr>
              <w:t>Large page or regional push</w:t>
            </w:r>
          </w:p>
        </w:tc>
      </w:tr>
      <w:tr>
        <w:tc>
          <w:tcPr>
            <w:tcW w:type="dxa" w:w="3374"/>
            <w:tcMar>
              <w:top w:w="90" w:type="dxa"/>
              <w:start w:w="110" w:type="dxa"/>
              <w:bottom w:w="90" w:type="dxa"/>
              <w:end w:w="110" w:type="dxa"/>
            </w:tcMar>
          </w:tcPr>
          <w:p>
            <w:r>
              <w:rPr>
                <w:rFonts w:ascii="Calibri" w:hAnsi="Calibri"/>
                <w:b w:val="0"/>
                <w:i w:val="0"/>
                <w:color w:val="07182D"/>
                <w:sz w:val="20"/>
              </w:rPr>
              <w:t>£1,000,000</w:t>
            </w:r>
          </w:p>
        </w:tc>
        <w:tc>
          <w:tcPr>
            <w:tcW w:type="dxa" w:w="3374"/>
            <w:tcMar>
              <w:top w:w="90" w:type="dxa"/>
              <w:start w:w="110" w:type="dxa"/>
              <w:bottom w:w="90" w:type="dxa"/>
              <w:end w:w="110" w:type="dxa"/>
            </w:tcMar>
          </w:tcPr>
          <w:p>
            <w:r>
              <w:rPr>
                <w:rFonts w:ascii="Calibri" w:hAnsi="Calibri"/>
                <w:b w:val="0"/>
                <w:i w:val="0"/>
                <w:color w:val="07182D"/>
                <w:sz w:val="20"/>
              </w:rPr>
              <w:t>£10,000</w:t>
            </w:r>
          </w:p>
        </w:tc>
        <w:tc>
          <w:tcPr>
            <w:tcW w:type="dxa" w:w="3374"/>
            <w:tcMar>
              <w:top w:w="90" w:type="dxa"/>
              <w:start w:w="110" w:type="dxa"/>
              <w:bottom w:w="90" w:type="dxa"/>
              <w:end w:w="110" w:type="dxa"/>
            </w:tcMar>
          </w:tcPr>
          <w:p>
            <w:r>
              <w:rPr>
                <w:rFonts w:ascii="Calibri" w:hAnsi="Calibri"/>
                <w:b w:val="0"/>
                <w:i w:val="0"/>
                <w:color w:val="07182D"/>
                <w:sz w:val="20"/>
              </w:rPr>
              <w:t>Major launch partner</w:t>
            </w:r>
          </w:p>
        </w:tc>
      </w:tr>
    </w:tbl>
    <w:p>
      <w:pPr>
        <w:spacing w:after="80"/>
      </w:pPr>
    </w:p>
    <w:p>
      <w:pPr>
        <w:pStyle w:val="Heading2"/>
      </w:pPr>
      <w:r>
        <w:t>Why Margin Protection Matters</w:t>
      </w:r>
    </w:p>
    <w:p>
      <w:pPr>
        <w:pStyle w:val="ListBullet"/>
        <w:spacing w:after="80"/>
      </w:pPr>
      <w:r>
        <w:t>Paid vehicle checks should only run after purchase or verified entitlement.</w:t>
      </w:r>
    </w:p>
    <w:p>
      <w:pPr>
        <w:pStyle w:val="ListBullet"/>
        <w:spacing w:after="80"/>
      </w:pPr>
      <w:r>
        <w:t>Free users can receive starter value from the app, but high-cost provider calls must be protected.</w:t>
      </w:r>
    </w:p>
    <w:p>
      <w:pPr>
        <w:pStyle w:val="ListBullet"/>
        <w:spacing w:after="80"/>
      </w:pPr>
      <w:r>
        <w:t>Backend monitoring should verify that paid access mode stays token-protected.</w:t>
      </w:r>
    </w:p>
    <w:p>
      <w:pPr>
        <w:pStyle w:val="ListBullet"/>
        <w:spacing w:after="80"/>
      </w:pPr>
      <w:r>
        <w:t>The app should avoid giving away expensive checks without payment unless deliberately enabled for demos.</w:t>
      </w:r>
    </w:p>
    <w:tbl>
      <w:tblPr>
        <w:tblW w:type="pct" w:w="5000"/>
        <w:jc w:val="center"/>
        <w:tblLook w:firstColumn="1" w:firstRow="1" w:lastColumn="0" w:lastRow="0" w:noHBand="0" w:noVBand="1" w:val="04A0"/>
      </w:tblPr>
      <w:tblGrid>
        <w:gridCol w:w="10123"/>
      </w:tblGrid>
      <w:tr>
        <w:tc>
          <w:tcPr>
            <w:tcW w:type="dxa" w:w="10123"/>
            <w:shd w:fill="EAF2FF"/>
            <w:tcBorders>
              <w:top w:val="single" w:sz="8" w:space="0" w:color="C9D7E8"/>
              <w:left w:val="single" w:sz="8" w:space="0" w:color="C9D7E8"/>
              <w:bottom w:val="single" w:sz="8" w:space="0" w:color="C9D7E8"/>
              <w:right w:val="single" w:sz="8" w:space="0" w:color="C9D7E8"/>
            </w:tcBorders>
            <w:tcMar>
              <w:top w:w="170" w:type="dxa"/>
              <w:start w:w="220" w:type="dxa"/>
              <w:bottom w:w="170" w:type="dxa"/>
              <w:end w:w="220" w:type="dxa"/>
            </w:tcMar>
            <w:vAlign w:val="center"/>
          </w:tcPr>
          <w:p>
            <w:pPr>
              <w:spacing w:after="80"/>
            </w:pPr>
            <w:r>
              <w:rPr>
                <w:rFonts w:ascii="Calibri" w:hAnsi="Calibri"/>
                <w:b/>
                <w:i w:val="0"/>
                <w:color w:val="2E74B5"/>
                <w:sz w:val="26"/>
              </w:rPr>
              <w:t>RECOMMENDED CREATOR MESSAGE</w:t>
            </w:r>
          </w:p>
          <w:p>
            <w:pPr>
              <w:spacing w:after="0"/>
            </w:pPr>
            <w:r>
              <w:rPr>
                <w:rFonts w:ascii="Calibri" w:hAnsi="Calibri"/>
                <w:b w:val="0"/>
                <w:i w:val="0"/>
                <w:color w:val="07182D"/>
                <w:sz w:val="21"/>
              </w:rPr>
              <w:t>Download ValueVision free, scan items to estimate resale value, and unlock paid UK vehicle checks when you need full car information.</w:t>
            </w:r>
          </w:p>
        </w:tc>
      </w:tr>
    </w:tbl>
    <w:p>
      <w:pPr>
        <w:spacing w:after="40"/>
      </w:pPr>
    </w:p>
    <w:p>
      <w:pPr>
        <w:pStyle w:val="Heading1"/>
      </w:pPr>
      <w:r>
        <w:t>Next Steps for Partners</w:t>
      </w:r>
    </w:p>
    <w:p>
      <w:pPr>
        <w:pStyle w:val="ListNumber"/>
        <w:spacing w:after="80"/>
      </w:pPr>
      <w:r>
        <w:t>Agree which route fits: affiliate commission, content package, strategic campaign share, or private investment discussion.</w:t>
      </w:r>
    </w:p>
    <w:p>
      <w:pPr>
        <w:pStyle w:val="ListNumber"/>
        <w:spacing w:after="80"/>
      </w:pPr>
      <w:r>
        <w:t>Set tracking: creator code, tracked link, campaign name, or agreed reporting method.</w:t>
      </w:r>
    </w:p>
    <w:p>
      <w:pPr>
        <w:pStyle w:val="ListNumber"/>
        <w:spacing w:after="80"/>
      </w:pPr>
      <w:r>
        <w:t>Approve content angle: item scan, vehicle check, giveaway, reseller challenge, or launch story.</w:t>
      </w:r>
    </w:p>
    <w:p>
      <w:pPr>
        <w:pStyle w:val="ListNumber"/>
        <w:spacing w:after="80"/>
      </w:pPr>
      <w:r>
        <w:t>Agree payment terms in writing before launch activity starts.</w:t>
      </w:r>
    </w:p>
    <w:p>
      <w:pPr>
        <w:pStyle w:val="ListNumber"/>
        <w:spacing w:after="80"/>
      </w:pPr>
      <w:r>
        <w:t>Review early results after the first campaign window and scale what converts.</w:t>
      </w:r>
    </w:p>
    <w:p>
      <w:pPr>
        <w:pStyle w:val="Heading2"/>
      </w:pPr>
      <w:r>
        <w:t>Contact</w:t>
      </w:r>
    </w:p>
    <w:tbl>
      <w:tblPr>
        <w:tblW w:type="pct" w:w="5000"/>
        <w:jc w:val="center"/>
        <w:tblLook w:firstColumn="1" w:firstRow="1" w:lastColumn="0" w:lastRow="0" w:noHBand="0" w:noVBand="1" w:val="04A0"/>
      </w:tblPr>
      <w:tblGrid>
        <w:gridCol w:w="10123"/>
      </w:tblGrid>
      <w:tr>
        <w:tc>
          <w:tcPr>
            <w:tcW w:type="dxa" w:w="10123"/>
            <w:shd w:fill="0B2747"/>
            <w:tcBorders>
              <w:top w:val="single" w:sz="8" w:space="0" w:color="C9D7E8"/>
              <w:left w:val="single" w:sz="8" w:space="0" w:color="C9D7E8"/>
              <w:bottom w:val="single" w:sz="8" w:space="0" w:color="C9D7E8"/>
              <w:right w:val="single" w:sz="8" w:space="0" w:color="C9D7E8"/>
            </w:tcBorders>
            <w:tcMar>
              <w:top w:w="170" w:type="dxa"/>
              <w:start w:w="220" w:type="dxa"/>
              <w:bottom w:w="170" w:type="dxa"/>
              <w:end w:w="220" w:type="dxa"/>
            </w:tcMar>
            <w:vAlign w:val="center"/>
          </w:tcPr>
          <w:p>
            <w:pPr>
              <w:spacing w:after="80"/>
            </w:pPr>
            <w:r>
              <w:rPr>
                <w:rFonts w:ascii="Calibri" w:hAnsi="Calibri"/>
                <w:b/>
                <w:i w:val="0"/>
                <w:color w:val="18BFAE"/>
                <w:sz w:val="26"/>
              </w:rPr>
              <w:t>TOM WATERMAN - VALUEVISION</w:t>
            </w:r>
          </w:p>
          <w:p>
            <w:pPr>
              <w:spacing w:after="0"/>
            </w:pPr>
            <w:r>
              <w:rPr>
                <w:rFonts w:ascii="Calibri" w:hAnsi="Calibri"/>
                <w:b w:val="0"/>
                <w:i w:val="0"/>
                <w:color w:val="07182D"/>
                <w:sz w:val="21"/>
              </w:rPr>
              <w:t>Email: watermantom646@gmail.com</w:t>
              <w:br/>
              <w:t>App support: https://valuevision-4kj3.onrender.com</w:t>
              <w:br/>
              <w:t>App Store: https://apps.apple.com/gb/app/valuevision/id6759789496</w:t>
            </w:r>
          </w:p>
        </w:tc>
      </w:tr>
    </w:tbl>
    <w:p>
      <w:pPr>
        <w:spacing w:after="40"/>
      </w:pPr>
    </w:p>
    <w:p>
      <w:pPr>
        <w:pStyle w:val="Heading2"/>
      </w:pPr>
      <w:r>
        <w:t>Important Compliance Note</w:t>
      </w:r>
    </w:p>
    <w:p>
      <w:pPr>
        <w:pStyle w:val="BodyText"/>
      </w:pPr>
      <w:r>
        <w:t>This document is a private discussion aid. It should not be posted publicly as an investment advert without legal review. UK investment communications can be treated as financial promotions and must be clear, fair and not misleading. Any equity investment discussion should be handled privately with appropriate legal/accounting advice and only with suitable investors.</w:t>
      </w:r>
    </w:p>
    <w:p>
      <w:pPr>
        <w:pStyle w:val="BodyText"/>
      </w:pPr>
      <w:r>
        <w:t>Regulatory references checked: FCA guidance says financial promotions and adverts must be clear, fair and not misleading; GOV.UK guidance notes that communications inviting or inducing investment activity may fall under UK financial promotion rules unless approved or exempt. This pack uses examples only and avoids guaranteed returns.</w:t>
      </w: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2647A"/>
        <w:sz w:val="16"/>
      </w:rPr>
      <w:t>ValueVision partner briefing - private discussion document - examples only, not a guarantee of income or investment return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71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320" w:lineRule="auto"/>
      <w:jc w:val="both"/>
    </w:pPr>
    <w:rPr>
      <w:rFonts w:ascii="Calibri" w:hAnsi="Calibri"/>
      <w:color w:val="07182D"/>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color w:val="07182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color w:val="07182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