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E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360" w:lineRule="auto"/>
        <w:jc w:val="center"/>
        <w:textAlignment w:val="auto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</w:rPr>
        <w:t>《药物效期管家》微信小程序</w:t>
      </w:r>
      <w:bookmarkStart w:id="0" w:name="_GoBack"/>
      <w:r>
        <w:rPr>
          <w:rFonts w:hint="eastAsia" w:ascii="黑体" w:hAnsi="黑体" w:eastAsia="黑体" w:cs="黑体"/>
          <w:b/>
          <w:bCs/>
          <w:sz w:val="36"/>
          <w:szCs w:val="36"/>
          <w:highlight w:val="none"/>
        </w:rPr>
        <w:t>原型设计报告</w:t>
      </w:r>
      <w:bookmarkEnd w:id="0"/>
    </w:p>
    <w:p w14:paraId="4C46A685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 项目概述</w:t>
      </w:r>
    </w:p>
    <w:p w14:paraId="422268F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《药物效期管家》是一款面向家庭用户的微信小程序，旨在帮助用户便捷管理家庭药品的库存与有效期。随着家庭常备药品种类增多，药品过期误服、遗忘用药等问题日益突出。本小程序通过提供药品录入、效期跟踪、智能提醒和AI用药咨询等功能，构建一个轻量级、易上手的家庭药箱管理工具，降低过期用药风险，减少药品浪费。</w:t>
      </w:r>
    </w:p>
    <w:p w14:paraId="3580EF0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</w:rPr>
        <w:t>本报告基于项目需求，完成了共计13个界面的高保真原型设计，涵盖登录授权、首页概览、药品录入、药品管理、效期提醒、AI助手及个人中心等核心功能模块。</w:t>
      </w:r>
    </w:p>
    <w:p w14:paraId="39ED3804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 需求分析</w:t>
      </w:r>
    </w:p>
    <w:p w14:paraId="1E7ADEE6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2.1 用户需求</w:t>
      </w:r>
    </w:p>
    <w:p w14:paraId="5EC1ECF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经调研分析，目标用户主要面临以下痛点：</w:t>
      </w:r>
    </w:p>
    <w:p w14:paraId="7C6422D3">
      <w:pPr>
        <w:numPr>
          <w:ilvl w:val="0"/>
          <w:numId w:val="1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药品效期管理混乱</w:t>
      </w:r>
      <w:r>
        <w:rPr>
          <w:rFonts w:hint="eastAsia" w:ascii="宋体" w:hAnsi="宋体" w:eastAsia="宋体" w:cs="宋体"/>
          <w:highlight w:val="none"/>
        </w:rPr>
        <w:t>：家庭药箱中存放多种药品，用户难以逐一记住每件药品的有效期，常导致药品过期后被误服。</w:t>
      </w:r>
    </w:p>
    <w:p w14:paraId="45A0736A">
      <w:pPr>
        <w:numPr>
          <w:ilvl w:val="0"/>
          <w:numId w:val="1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录入操作繁琐</w:t>
      </w:r>
      <w:r>
        <w:rPr>
          <w:rFonts w:hint="eastAsia" w:ascii="宋体" w:hAnsi="宋体" w:eastAsia="宋体" w:cs="宋体"/>
          <w:highlight w:val="none"/>
        </w:rPr>
        <w:t>：传统手动输入方式效率较低，用户期望通过拍照、语音等更便捷的方式完成药品信息的录入。</w:t>
      </w:r>
    </w:p>
    <w:p w14:paraId="4B10DF41">
      <w:pPr>
        <w:numPr>
          <w:ilvl w:val="0"/>
          <w:numId w:val="1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缺乏主动提醒机制</w:t>
      </w:r>
      <w:r>
        <w:rPr>
          <w:rFonts w:hint="eastAsia" w:ascii="宋体" w:hAnsi="宋体" w:eastAsia="宋体" w:cs="宋体"/>
          <w:highlight w:val="none"/>
        </w:rPr>
        <w:t>：用户需要系统在药品临期或过期时主动推送提醒，而非依赖用户自行查看。</w:t>
      </w:r>
    </w:p>
    <w:p w14:paraId="6FBE1459">
      <w:pPr>
        <w:numPr>
          <w:ilvl w:val="0"/>
          <w:numId w:val="1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用药知识获取不便</w:t>
      </w:r>
      <w:r>
        <w:rPr>
          <w:rFonts w:hint="eastAsia" w:ascii="宋体" w:hAnsi="宋体" w:eastAsia="宋体" w:cs="宋体"/>
          <w:highlight w:val="none"/>
        </w:rPr>
        <w:t>：用户在用药过程中可能产生疑问（如药物能否同服、过期药品如何处理等），需要即时的专业建议。</w:t>
      </w:r>
    </w:p>
    <w:p w14:paraId="3EF27329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2.2 功能需求</w:t>
      </w:r>
    </w:p>
    <w:p w14:paraId="19833B7F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基于上述分析，系统应具备以下核心功能：</w:t>
      </w:r>
    </w:p>
    <w:p w14:paraId="19F98671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微信授权登录</w:t>
      </w:r>
      <w:r>
        <w:rPr>
          <w:rFonts w:hint="eastAsia" w:ascii="宋体" w:hAnsi="宋体" w:eastAsia="宋体" w:cs="宋体"/>
          <w:highlight w:val="none"/>
        </w:rPr>
        <w:t>：利用微信生态实现一键登录，降低使用门槛。</w:t>
      </w:r>
    </w:p>
    <w:p w14:paraId="22813E63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多模态药品录入</w:t>
      </w:r>
      <w:r>
        <w:rPr>
          <w:rFonts w:hint="eastAsia" w:ascii="宋体" w:hAnsi="宋体" w:eastAsia="宋体" w:cs="宋体"/>
          <w:highlight w:val="none"/>
        </w:rPr>
        <w:t>：支持手动录入、拍照识别和语音解析三种录入方式。</w:t>
      </w:r>
    </w:p>
    <w:p w14:paraId="15684492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药品全生命周期管理</w:t>
      </w:r>
      <w:r>
        <w:rPr>
          <w:rFonts w:hint="eastAsia" w:ascii="宋体" w:hAnsi="宋体" w:eastAsia="宋体" w:cs="宋体"/>
          <w:highlight w:val="none"/>
        </w:rPr>
        <w:t>：支持药品信息的查询、筛选、修改和删除。</w:t>
      </w:r>
    </w:p>
    <w:p w14:paraId="1AF1F20F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效期分级提醒</w:t>
      </w:r>
      <w:r>
        <w:rPr>
          <w:rFonts w:hint="eastAsia" w:ascii="宋体" w:hAnsi="宋体" w:eastAsia="宋体" w:cs="宋体"/>
          <w:highlight w:val="none"/>
        </w:rPr>
        <w:t>：根据药品到期状态（正常/临期/已过期）进行分级展示与推送提醒。</w:t>
      </w:r>
    </w:p>
    <w:p w14:paraId="2D1808E0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AI智能助手</w:t>
      </w:r>
      <w:r>
        <w:rPr>
          <w:rFonts w:hint="eastAsia" w:ascii="宋体" w:hAnsi="宋体" w:eastAsia="宋体" w:cs="宋体"/>
          <w:highlight w:val="none"/>
        </w:rPr>
        <w:t>：提供药品知识问答和个性化用药建议。</w:t>
      </w:r>
    </w:p>
    <w:p w14:paraId="6B8A1044">
      <w:pPr>
        <w:numPr>
          <w:ilvl w:val="0"/>
          <w:numId w:val="2"/>
        </w:numPr>
        <w:bidi w:val="0"/>
        <w:spacing w:after="120" w:line="288" w:lineRule="auto"/>
        <w:ind w:left="425" w:leftChars="0" w:hanging="425" w:firstLineChars="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</w:rPr>
        <w:t>个人中心与设置</w:t>
      </w:r>
      <w:r>
        <w:rPr>
          <w:rFonts w:hint="eastAsia" w:ascii="宋体" w:hAnsi="宋体" w:eastAsia="宋体" w:cs="宋体"/>
          <w:highlight w:val="none"/>
        </w:rPr>
        <w:t>：支持用户信息查看、提醒偏好设置和数据同步管理。</w:t>
      </w:r>
    </w:p>
    <w:p w14:paraId="7B97A1B3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 功能结构设计</w:t>
      </w:r>
    </w:p>
    <w:p w14:paraId="6A20474A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本小程序采用底部标签栏导航（Tab Bar）作为一级导航结构，包含四个主模块：</w:t>
      </w:r>
      <w:r>
        <w:rPr>
          <w:rFonts w:hint="eastAsia" w:ascii="宋体" w:hAnsi="宋体" w:eastAsia="宋体" w:cs="宋体"/>
          <w:highlight w:val="none"/>
        </w:rPr>
        <w:t>首页</w:t>
      </w:r>
      <w:r>
        <w:rPr>
          <w:rFonts w:hint="eastAsia" w:ascii="宋体" w:hAnsi="宋体" w:eastAsia="宋体" w:cs="宋体"/>
          <w:highlight w:val="none"/>
        </w:rPr>
        <w:t>、</w:t>
      </w:r>
      <w:r>
        <w:rPr>
          <w:rFonts w:hint="eastAsia" w:ascii="宋体" w:hAnsi="宋体" w:eastAsia="宋体" w:cs="宋体"/>
          <w:highlight w:val="none"/>
        </w:rPr>
        <w:t>药物</w:t>
      </w:r>
      <w:r>
        <w:rPr>
          <w:rFonts w:hint="eastAsia" w:ascii="宋体" w:hAnsi="宋体" w:eastAsia="宋体" w:cs="宋体"/>
          <w:highlight w:val="none"/>
        </w:rPr>
        <w:t>、</w:t>
      </w:r>
      <w:r>
        <w:rPr>
          <w:rFonts w:hint="eastAsia" w:ascii="宋体" w:hAnsi="宋体" w:eastAsia="宋体" w:cs="宋体"/>
          <w:highlight w:val="none"/>
        </w:rPr>
        <w:t>AI</w:t>
      </w:r>
      <w:r>
        <w:rPr>
          <w:rFonts w:hint="eastAsia" w:ascii="宋体" w:hAnsi="宋体" w:eastAsia="宋体" w:cs="宋体"/>
          <w:highlight w:val="none"/>
        </w:rPr>
        <w:t>、</w:t>
      </w:r>
      <w:r>
        <w:rPr>
          <w:rFonts w:hint="eastAsia" w:ascii="宋体" w:hAnsi="宋体" w:eastAsia="宋体" w:cs="宋体"/>
          <w:highlight w:val="none"/>
        </w:rPr>
        <w:t>我的</w:t>
      </w:r>
      <w:r>
        <w:rPr>
          <w:rFonts w:hint="eastAsia" w:ascii="宋体" w:hAnsi="宋体" w:eastAsia="宋体" w:cs="宋体"/>
          <w:highlight w:val="none"/>
        </w:rPr>
        <w:t>。各模块功能结构如下：</w:t>
      </w:r>
    </w:p>
    <w:p w14:paraId="7B312760">
      <w:pPr>
        <w:bidi w:val="0"/>
        <w:spacing w:after="120" w:line="288" w:lineRule="auto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drawing>
          <wp:inline distT="0" distB="0" distL="114300" distR="114300">
            <wp:extent cx="5715000" cy="2458085"/>
            <wp:effectExtent l="0" t="0" r="0" b="5715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C573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 原型设计</w:t>
      </w:r>
    </w:p>
    <w:p w14:paraId="65E288DF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4.1 登录与授权模块设计</w:t>
      </w:r>
    </w:p>
    <w:p w14:paraId="4315BEA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页面目的：降低首次使用门槛，完成用户身份验证与隐私授权。</w:t>
      </w:r>
    </w:p>
    <w:p w14:paraId="4FBD2B4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页面布局：页面顶部展示应用Logo与名称，主体区域提供微信授权登录入口，并保留手机号登录作为备用方式；底部展示《用户协议》《隐私政策》链接。</w:t>
      </w:r>
    </w:p>
    <w:p w14:paraId="020FA9A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主要交互：用户点击微信登录后弹出隐私授权说明，确认授权后完成登录并进入首页；若选择手机号登录，则进入手机号验证页面。</w:t>
      </w:r>
    </w:p>
    <w:p w14:paraId="658F703E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页面跳转：登录成功 → 首页；手机号登录入口 → 手机号登录页。</w:t>
      </w:r>
    </w:p>
    <w:p w14:paraId="264548A0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4.2 首页模块设计</w:t>
      </w:r>
    </w:p>
    <w:p w14:paraId="4A943E88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页面目的：展示药箱整体状态、提供快捷录入入口，并突出需要优先处理的风险药品。</w:t>
      </w:r>
    </w:p>
    <w:p w14:paraId="6224F27C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页面布局：顶部为导航栏与用户入口，中部依次为药品风险统计区、快捷录入区和重点提醒列表，底部为Tab Bar导航。</w:t>
      </w:r>
    </w:p>
    <w:p w14:paraId="51C3474F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主要交互：点击统计卡片可进入药物列表并自动筛选对应状态；点击拍照、语音或手动录入入口可进入对应录入页面；点击提醒项可查看相关药品详情。</w:t>
      </w:r>
    </w:p>
    <w:p w14:paraId="5DA0383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页面跳转：首页 → 拍照录入/语音录入/手动录入；首页统计卡片 → 药物列表（自动筛选）。</w:t>
      </w:r>
    </w:p>
    <w:p w14:paraId="6D5D941F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4.3 药品录入模块设计</w:t>
      </w:r>
    </w:p>
    <w:p w14:paraId="32ED1A22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4.3.1 手动录入页</w:t>
      </w:r>
    </w:p>
    <w:p w14:paraId="414FC39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页面目的：支持用户精确填写药品信息。</w:t>
      </w:r>
    </w:p>
    <w:p w14:paraId="7C87A616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页面布局：采用表单式布局，包含药品名称、类别、剂型、数量、有效期等字段，并实时展示药品状态预览。</w:t>
      </w:r>
    </w:p>
    <w:p w14:paraId="7657A8BA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主要交互：用户填写信息后点击保存，系统校验必填项并生成对应状态标签；部分剂型可记录开封状态。</w:t>
      </w:r>
    </w:p>
    <w:p w14:paraId="08DF785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页面跳转：保存成功 → 药物列表。</w:t>
      </w:r>
    </w:p>
    <w:p w14:paraId="42EE2E37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4.3.2 拍照录入页</w:t>
      </w:r>
    </w:p>
    <w:p w14:paraId="11133521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页面目的：通过图像识别降低录入成本。</w:t>
      </w:r>
    </w:p>
    <w:p w14:paraId="0FCA8FC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页面布局：页面以相机取景界面为主体，识别结果通过覆盖框和底部确认面板展示。</w:t>
      </w:r>
    </w:p>
    <w:p w14:paraId="5B15885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主要交互：用户拍照后系统识别药品信息，识别结果可在确认面板中修改后统一保存。</w:t>
      </w:r>
    </w:p>
    <w:p w14:paraId="63E1D8D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页面跳转：保存成功 → 药物列表。</w:t>
      </w:r>
    </w:p>
    <w:p w14:paraId="5207406B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4.3.3 语音录入页</w:t>
      </w:r>
    </w:p>
    <w:p w14:paraId="510829C3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页面目的：支持自然语言方式录入药品信息。</w:t>
      </w:r>
    </w:p>
    <w:p w14:paraId="0CC2755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页面布局：页面顶部为语音录制入口，中部展示转写文本，下方为可编辑表单。</w:t>
      </w:r>
    </w:p>
    <w:p w14:paraId="0E993F0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主要交互：用户录音后系统完成语音转写与字段解析，用户确认或修正信息后保存。</w:t>
      </w:r>
    </w:p>
    <w:p w14:paraId="2BFC2C9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页面跳转：保存成功 → 药物列表。</w:t>
      </w:r>
    </w:p>
    <w:p w14:paraId="1F0FC94F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4.4 药品管理模块设计</w:t>
      </w:r>
    </w:p>
    <w:p w14:paraId="6F9D0578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4.4.1 药品管理页</w:t>
      </w:r>
    </w:p>
    <w:p w14:paraId="30E75960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页面目的：统一展示和管理所有已录入药品。</w:t>
      </w:r>
    </w:p>
    <w:p w14:paraId="681CF05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页面布局：页面顶部提供搜索与排序入口，中部为筛选标签栏，主体区域采用卡片式药品列表展示。</w:t>
      </w:r>
    </w:p>
    <w:p w14:paraId="716B557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主要交互：用户可通过关键词搜索和状态筛选快速定位药品；支持编辑和删除操作；列表为空时展示空状态提示。</w:t>
      </w:r>
    </w:p>
    <w:p w14:paraId="330B47C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页面跳转：药物列表 → 编辑药物页。</w:t>
      </w:r>
    </w:p>
    <w:p w14:paraId="4E1AFD62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4.4.2 编辑药物页</w:t>
      </w:r>
    </w:p>
    <w:p w14:paraId="3930C076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页面目的：修改已有药品信息。</w:t>
      </w:r>
    </w:p>
    <w:p w14:paraId="6441187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页面布局：布局与手动录入页保持一致，表单预填当前药品数据。</w:t>
      </w:r>
    </w:p>
    <w:p w14:paraId="4EDBD69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主要交互：用户修改信息后保存，系统更新药物列表并重新计算效期状态。</w:t>
      </w:r>
    </w:p>
    <w:p w14:paraId="4537411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页面跳转：保存成功 → 药物列表。</w:t>
      </w:r>
    </w:p>
    <w:p w14:paraId="32999361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4.5 消息提醒模块设计</w:t>
      </w:r>
    </w:p>
    <w:p w14:paraId="0F333A29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页面目的：集中展示系统生成的提醒消息，帮助用户及时处理临期或过期药品。</w:t>
      </w:r>
    </w:p>
    <w:p w14:paraId="37F501B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页面布局：页面采用纵向消息列表布局，每条消息包含标题、说明和推送时间。</w:t>
      </w:r>
    </w:p>
    <w:p w14:paraId="044F7C4E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主要交互：用户可点击消息查看对应药品或建议内容；提醒来源包括临期提醒、过期提醒和AI建议通知。</w:t>
      </w:r>
    </w:p>
    <w:p w14:paraId="35C05D6E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页面跳转：消息项 → 对应药品详情或AI助手会话。</w:t>
      </w:r>
    </w:p>
    <w:p w14:paraId="5187D7B3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4.6 AI助手模块设计</w:t>
      </w:r>
    </w:p>
    <w:p w14:paraId="226DB4B6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页面目的：为用户提供药品相关知识问答与用药咨询。</w:t>
      </w:r>
    </w:p>
    <w:p w14:paraId="3AABB2F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页面布局：采用即时通讯式界面，上方显示系统提示，中部为对话消息流，底部为输入栏与发送入口。</w:t>
      </w:r>
    </w:p>
    <w:p w14:paraId="07796439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主要交互：用户输入问题后，AI结合药箱数据和药品知识生成回复，并在对话区持续展示上下文。</w:t>
      </w:r>
    </w:p>
    <w:p w14:paraId="6F61A03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页面跳转：消息提醒中的AI建议可直接进入当前会话。</w:t>
      </w:r>
    </w:p>
    <w:p w14:paraId="1CD99A52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4.7 个人中心模块设计</w:t>
      </w:r>
    </w:p>
    <w:p w14:paraId="4415D353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4.7.1 个人中心页</w:t>
      </w:r>
    </w:p>
    <w:p w14:paraId="02D6B3EE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页面目的：展示用户信息、统计数据及常用设置入口。</w:t>
      </w:r>
    </w:p>
    <w:p w14:paraId="55F7F581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页面布局：顶部为用户信息卡片，中部为统计数据卡片，下方按分组展示消息提醒、偏好设置、关于我们、隐私协议和退出登录等功能入口。</w:t>
      </w:r>
    </w:p>
    <w:p w14:paraId="3DAAB0C9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主要交互：用户可进入消息提醒、设置或查看协议内容，并可执行退出登录操作。</w:t>
      </w:r>
    </w:p>
    <w:p w14:paraId="4AE631C3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页面跳转：个人中心 → 消息提醒页/设置页/关于我们页/隐私协议页。</w:t>
      </w:r>
    </w:p>
    <w:p w14:paraId="072AF44F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4.7.2 设置页</w:t>
      </w:r>
    </w:p>
    <w:p w14:paraId="7232533C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页面目的：配置提醒与同步等偏好项。</w:t>
      </w:r>
    </w:p>
    <w:p w14:paraId="4FDEA9E6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页面布局：页面提供提醒推送开关、提醒时间选择、语言设置和数据同步开关等配置项。</w:t>
      </w:r>
    </w:p>
    <w:p w14:paraId="630C849F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主要交互：开关操作即时生效，时间选择采用标准时间选择器，底部提供退出当前账号入口。</w:t>
      </w:r>
    </w:p>
    <w:p w14:paraId="2E5F5E1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页面跳转：返回 → 个人中心页。</w:t>
      </w:r>
    </w:p>
    <w:p w14:paraId="08F4758C">
      <w:pPr>
        <w:pStyle w:val="4"/>
        <w:keepNext/>
        <w:keepLines/>
        <w:widowControl/>
        <w:bidi w:val="0"/>
        <w:spacing w:before="260" w:after="260" w:line="416" w:lineRule="auto"/>
        <w:ind w:firstLine="482" w:firstLineChars="200"/>
        <w:jc w:val="left"/>
        <w:outlineLvl w:val="2"/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4.7.3 关于我们与隐私协议页</w:t>
      </w:r>
    </w:p>
    <w:p w14:paraId="37034F93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页面目的：展示应用简介、版本信息以及数据收集与使用说明。</w:t>
      </w:r>
    </w:p>
    <w:p w14:paraId="02383481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页面布局：采用文档阅读式布局，支持纵向滚动查看完整内容。</w:t>
      </w:r>
    </w:p>
    <w:p w14:paraId="4812392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主要交互：用户可阅读版本信息和隐私说明，并返回个人中心。</w:t>
      </w:r>
    </w:p>
    <w:p w14:paraId="1215E4EC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页面跳转：返回 → 个人中心页。</w:t>
      </w:r>
    </w:p>
    <w:p w14:paraId="34B90093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 页面交互设计</w:t>
      </w:r>
    </w:p>
    <w:p w14:paraId="1C8F8D51">
      <w:pPr>
        <w:pStyle w:val="3"/>
        <w:keepNext/>
        <w:widowControl/>
        <w:bidi w:val="0"/>
        <w:ind w:firstLine="562" w:firstLineChars="200"/>
        <w:outlineLvl w:val="1"/>
        <w:rPr>
          <w:rFonts w:hint="default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5.1 导航结构设计</w:t>
      </w:r>
    </w:p>
    <w:p w14:paraId="75CFE2AC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本小程序采用底部标签栏（Tab Bar）作为主要导航方式，包含首页、药物、AI助手和个人中心四个一级页面。用户可通过底部导航快速切换不同功能模块，提高页面访问效率。</w:t>
      </w:r>
    </w:p>
    <w:p w14:paraId="6C577D5F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对于录入页、编辑页、设置页、消息提醒页等二级页面，采用微信小程序常见的层级导航模式，通过顶部返回按钮返回上一级页面。整体导航结构遵循“重要功能一步可达、辅助功能两步可达”的设计原则，降低用户学习成本。</w:t>
      </w:r>
    </w:p>
    <w:p w14:paraId="2684F7C8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系统主要页面跳转关系如下：</w:t>
      </w:r>
    </w:p>
    <w:p w14:paraId="42C22EAE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登录页 → 首页</w:t>
      </w:r>
    </w:p>
    <w:p w14:paraId="4885846A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首页 → 手动录入页 / 拍照录入页 / 语音录入页</w:t>
      </w:r>
    </w:p>
    <w:p w14:paraId="06AD7589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首页统计卡片 → 药物管理页（自动筛选对应状态）</w:t>
      </w:r>
    </w:p>
    <w:p w14:paraId="5E07548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药物管理页 → 编辑药物页</w:t>
      </w:r>
    </w:p>
    <w:p w14:paraId="4D979CD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个人中心页 → 消息提醒页 / 设置页 / 关于我们页 / 隐私协议页</w:t>
      </w:r>
    </w:p>
    <w:p w14:paraId="39086437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5.2 页面交互设计</w:t>
      </w:r>
    </w:p>
    <w:p w14:paraId="5B63280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为了提升用户体验和操作效率，系统在关键业务场景中设计了多种交互机制。</w:t>
      </w:r>
    </w:p>
    <w:p w14:paraId="194A6A68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在药品录入和编辑过程中，当用户选择药品有效期后，系统自动计算剩余天数，并实时显示药品状态标签。用户无需手动判断药品状态，即可直观了解药品是否处于正常、临期或过期状态。</w:t>
      </w:r>
    </w:p>
    <w:p w14:paraId="29BFE589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针对不同剂型的药品，系统采用动态表单设计。当用户选择瓶装或软膏类药品时，页面自动显示开封状态选项；当选择独立包装药品时，则自动隐藏相关字段，减少无效输入内容。</w:t>
      </w:r>
    </w:p>
    <w:p w14:paraId="07143E1D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在药物管理页面中，搜索功能与状态筛选功能可同时生效。用户既可以根据药品名称进行搜索，也可以按照药品状态进行分类查看。当筛选结果为空时，系统展示空状态页面，引导用户调整筛选条件。</w:t>
      </w:r>
    </w:p>
    <w:p w14:paraId="55B35D62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5.3 交互反馈设计</w:t>
      </w:r>
    </w:p>
    <w:p w14:paraId="6DB9B6DB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系统通过及时的视觉反馈提升操作的可理解性和安全性。</w:t>
      </w:r>
    </w:p>
    <w:p w14:paraId="7B358DB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在拍照录入场景中，识别完成后系统采用底部弹出面板展示识别结果，用户可对识别内容进行确认和修改后再保存，避免因识别错误导致的数据录入问题。</w:t>
      </w:r>
    </w:p>
    <w:p w14:paraId="41C1D8A3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在设置页面中，提醒开关、数据同步等配置项采用即时反馈机制。用户完成操作后，页面立即更新控件状态，使用户能够清晰感知当前设置结果。</w:t>
      </w:r>
    </w:p>
    <w:p w14:paraId="1207AAF2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对于保存、删除等关键操作，系统通过提示信息反馈执行结果，帮助用户确认操作是否成功，从而提高整体使用体验。</w:t>
      </w:r>
    </w:p>
    <w:p w14:paraId="1CC51A60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 UI设计说明</w:t>
      </w:r>
    </w:p>
    <w:p w14:paraId="42B5026F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6.1 设计风格</w:t>
      </w:r>
    </w:p>
    <w:p w14:paraId="6DCD9DC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原型整体采用</w:t>
      </w:r>
      <w:r>
        <w:rPr>
          <w:rFonts w:hint="eastAsia" w:ascii="宋体" w:hAnsi="宋体" w:eastAsia="宋体" w:cs="宋体"/>
          <w:highlight w:val="none"/>
        </w:rPr>
        <w:t>清新简约的扁平化风格</w:t>
      </w:r>
      <w:r>
        <w:rPr>
          <w:rFonts w:hint="eastAsia" w:ascii="宋体" w:hAnsi="宋体" w:eastAsia="宋体" w:cs="宋体"/>
          <w:highlight w:val="none"/>
        </w:rPr>
        <w:t>，以浅蓝灰色（f5f8fd、edf2fb）为页面背景主色调，营造干净、可信赖的医疗健康氛围。卡片采用白色背景配合圆角（border-radius: 14-20px）和轻微阴影，层次分明。</w:t>
      </w:r>
    </w:p>
    <w:p w14:paraId="10227DEA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6.2 色彩体系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7"/>
        <w:gridCol w:w="2320"/>
        <w:gridCol w:w="5199"/>
      </w:tblGrid>
      <w:tr w14:paraId="51118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4FF03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用途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BA373D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色值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7246F9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说明</w:t>
            </w:r>
          </w:p>
        </w:tc>
      </w:tr>
      <w:tr w14:paraId="6DB3BE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AF0BE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主色调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B93EAA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2563eb / 2f80ed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4D0089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蓝色系，用于导航激活态、主按钮、链接</w:t>
            </w:r>
          </w:p>
        </w:tc>
      </w:tr>
      <w:tr w14:paraId="257234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ACAF90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成功/正常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0B856B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10b981 / 22c55e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D8AACE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绿色，表示药品正常、开关开启</w:t>
            </w:r>
          </w:p>
        </w:tc>
      </w:tr>
      <w:tr w14:paraId="555006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2569F8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警告/临期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4AB306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f59e0b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9CC98F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橙色，表示药品即将到期</w:t>
            </w:r>
          </w:p>
        </w:tc>
      </w:tr>
      <w:tr w14:paraId="08DCD4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865466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危险/过期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76747A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ef4444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1DA285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红色，表示药品已过期</w:t>
            </w:r>
          </w:p>
        </w:tc>
      </w:tr>
      <w:tr w14:paraId="527BE1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4C8818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微信绿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7C9629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07c160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4729C4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微信登录按钮专用色</w:t>
            </w:r>
          </w:p>
        </w:tc>
      </w:tr>
      <w:tr w14:paraId="04BB38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3D7E41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页面背景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29A419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f5f8fd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8C33FC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浅蓝灰背景</w:t>
            </w:r>
          </w:p>
        </w:tc>
      </w:tr>
      <w:tr w14:paraId="20F3D9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AE535A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卡片背景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7421ED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ffffff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6DC5B2">
            <w:pPr>
              <w:bidi w:val="0"/>
              <w:spacing w:after="120" w:line="288" w:lineRule="auto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highlight w:val="none"/>
              </w:rPr>
              <w:t>白色卡片</w:t>
            </w:r>
          </w:p>
        </w:tc>
      </w:tr>
    </w:tbl>
    <w:p w14:paraId="2119243B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6.3 字体与图标</w:t>
      </w:r>
    </w:p>
    <w:p w14:paraId="20F1B514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使用系统默认中文字体栈（PingFang SC、Alibaba PuHuiTi），确保在不同设备上的一致渲染。图标采用Font Awesome 6图标库，按剂型（瓶装/板装/冲剂/软膏）匹配差异化的图标与背景色，增强视觉辨识度。</w:t>
      </w:r>
    </w:p>
    <w:p w14:paraId="0F51CFA9">
      <w:pPr>
        <w:pStyle w:val="3"/>
        <w:keepNext/>
        <w:widowControl/>
        <w:bidi w:val="0"/>
        <w:ind w:firstLine="562" w:firstLineChars="200"/>
        <w:outlineLvl w:val="1"/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6.4 适配与规范</w:t>
      </w:r>
    </w:p>
    <w:p w14:paraId="24741C77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</w:rPr>
        <w:t>原型以iPhone 14 Pro尺寸（393×852px）为基准设计，包含状态栏（时间、信号、WiFi、电量）和Home Indicator模拟条，模拟真实小程序运行环境。各页面统一采用16px左右边距，卡片间距8-12px，确保信息密度适中、触控区域符合微信小程序设计规范。</w:t>
      </w:r>
    </w:p>
    <w:p w14:paraId="139E2602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361" w:afterLines="100"/>
        <w:ind w:firstLine="643" w:firstLineChars="200"/>
        <w:textAlignment w:val="auto"/>
        <w:outlineLvl w:val="0"/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7 总结</w:t>
      </w:r>
    </w:p>
    <w:p w14:paraId="757AEF7F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本报告基于《药物效期管家》微信小程序的功能需求，设计并完成了涵盖登录注册、首页概览、多模态药品录入、药品列表管理、效期提醒、AI智能助手及个人中心等13个界面的高保真原型。原型采用手机模拟框架呈现，完整展示了页面的布局结构、交互逻辑和视觉风格。</w:t>
      </w:r>
    </w:p>
    <w:p w14:paraId="721C6E98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在功能设计上，系统以“降低使用门槛、提升用药安全”为核心理念：通过微信一键登录降低用户上手成本；通过拍照识别和语音解析丰富录入方式，适应不同场景；通过实时效期计算和分级状态标签实现直观的药品状态可视化；通过AI助手提供即时用药咨询，弥补用户专业知识缺口。</w:t>
      </w:r>
    </w:p>
    <w:p w14:paraId="0A2D08DC">
      <w:pPr>
        <w:bidi w:val="0"/>
        <w:spacing w:after="120" w:line="288" w:lineRule="auto"/>
        <w:ind w:firstLine="48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原型设计过程遵循了移动端UI设计规范，注重信息层级清晰、交互反馈及时、视觉风格统一。后续可基于本原型开展可用性测试与迭代优化，并进入正式的界面开发阶段。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25967"/>
    <w:multiLevelType w:val="singleLevel"/>
    <w:tmpl w:val="B81259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339A45B"/>
    <w:multiLevelType w:val="singleLevel"/>
    <w:tmpl w:val="F339A45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9168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4667</Words>
  <Characters>4988</Characters>
  <TotalTime>22</TotalTime>
  <ScaleCrop>false</ScaleCrop>
  <LinksUpToDate>false</LinksUpToDate>
  <CharactersWithSpaces>5153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2026-06-12T13:13:00Z</dcterms:created>
  <dc:creator>Un-named</dc:creator>
  <cp:lastModifiedBy>梁日萌0323</cp:lastModifiedBy>
  <dcterms:modified xsi:type="dcterms:W3CDTF">2026-06-12T13:39:32Z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eyJoZGlkIjoiNTBiZWI1ZjM5ODZiNzc2ZTA0ZTg4NjYxNTcyZjkxMDAiLCJ1c2VySWQiOiIxODIwNjA4ODk4In0=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92388C9DE13A4A6BA0C520E5C0C39CD5_12</vt:lpwstr>
  </property>
</Properties>
</file>