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color w:val="5A6070"/>
          <w:sz w:val="19"/>
        </w:rPr>
        <w:t>MH6805 Machine Learning in Finance  |  Group 7  |  Final Report (DRAFT)</w:t>
      </w:r>
    </w:p>
    <w:p>
      <w:pPr>
        <w:spacing w:after="40"/>
        <w:jc w:val="center"/>
      </w:pPr>
      <w:r>
        <w:rPr>
          <w:b/>
          <w:color w:val="1F2433"/>
          <w:sz w:val="32"/>
        </w:rPr>
        <w:t>Do Scheduled Token Unlocks Help Forecast Crypto Volatility?</w:t>
      </w:r>
    </w:p>
    <w:p>
      <w:pPr>
        <w:spacing w:after="80"/>
        <w:jc w:val="center"/>
      </w:pPr>
      <w:r>
        <w:rPr>
          <w:i/>
          <w:color w:val="5A6070"/>
          <w:sz w:val="22"/>
        </w:rPr>
        <w:t>Walk-forward evidence from 176 tokens and five machine-learning models</w:t>
      </w:r>
    </w:p>
    <w:p>
      <w:pPr>
        <w:spacing w:after="20"/>
        <w:jc w:val="center"/>
      </w:pPr>
      <w:r>
        <w:rPr>
          <w:b/>
          <w:color w:val="C0392B"/>
          <w:sz w:val="19"/>
        </w:rPr>
        <w:t>[Member 1 name, NTU email]</w:t>
      </w:r>
      <w:r>
        <w:rPr>
          <w:sz w:val="19"/>
        </w:rPr>
        <w:t xml:space="preserve">   </w:t>
      </w:r>
      <w:r>
        <w:rPr>
          <w:b/>
          <w:color w:val="C0392B"/>
          <w:sz w:val="19"/>
        </w:rPr>
        <w:t>[Member 2 name, NTU email]</w:t>
      </w:r>
      <w:r>
        <w:rPr>
          <w:sz w:val="19"/>
        </w:rPr>
        <w:t xml:space="preserve">   </w:t>
      </w:r>
      <w:r>
        <w:rPr>
          <w:b/>
          <w:color w:val="C0392B"/>
          <w:sz w:val="19"/>
        </w:rPr>
        <w:t>[Member 3 name, NTU email]</w:t>
      </w:r>
    </w:p>
    <w:p>
      <w:pPr>
        <w:spacing w:after="120"/>
        <w:jc w:val="center"/>
      </w:pPr>
      <w:r>
        <w:rPr>
          <w:i/>
          <w:color w:val="5A6070"/>
          <w:sz w:val="18"/>
        </w:rPr>
        <w:t>Contribution of each member: see Table A3 in the appendix.</w:t>
      </w:r>
    </w:p>
    <w:p>
      <w:pPr>
        <w:jc w:val="both"/>
      </w:pPr>
      <w:r>
        <w:rPr>
          <w:b/>
          <w:sz w:val="20"/>
        </w:rPr>
        <w:t xml:space="preserve">Abstract. </w:t>
      </w:r>
      <w:r>
        <w:rPr>
          <w:sz w:val="20"/>
        </w:rPr>
        <w:t>We ask whether a token's published unlock (emission) schedule adds forecasting power for its forward 14-day realized volatility beyond what trailing volatility and the market regime already explain. On a panel of 176 tokens over 2024-09 to 2026-08 (101,393 token-days) we run K-nearest neighbours, Random Forest, Ridge, Elastic Net and logistic regression twice, once on nine control features and once on controls plus 23 emission and static features, under a strict five-fold walk-forward protocol with embargo. Every regressor beats both the persistence forecast and the pooled-mean baseline (out-of-sample R² of 0.23 to 0.27 against persistence), but that gain comes from the controls. Adding the unlock features changes out-of-sample R² by +0.001 to +0.006 on average, against a fold-to-fold standard deviation of about 0.15, and the sign of the change flips between folds. The classification view agrees: the unlock features lower ROC-AUC slightly. Although forward volatility does rise with unlock pressure in the raw data, that relationship is absorbed by trailing volatility once it is controlled for. We conclude that, in this panel, scheduled unlocks are not a reliable incremental volatility signal.</w:t>
      </w:r>
    </w:p>
    <w:p>
      <w:pPr>
        <w:pStyle w:val="Heading1"/>
      </w:pPr>
      <w:r>
        <w:t>1  Introduction</w:t>
      </w:r>
    </w:p>
    <w:p>
      <w:pPr>
        <w:jc w:val="both"/>
      </w:pPr>
      <w:r>
        <w:t>Most crypto tokens are not fully in circulation at launch. Team, investor and ecosystem allocations are locked and released on a published vesting schedule, and data vendors such as Tokenomist track these “unlocks” token by token. Market commentary routinely treats a large upcoming unlock as a volatility event: new supply reaches holders who may sell, so prices are expected to move more around the unlock date. Because the schedule is public in advance, it is one of the few forward-looking inputs a forecaster can legitimately use.</w:t>
      </w:r>
    </w:p>
    <w:p>
      <w:pPr>
        <w:jc w:val="both"/>
      </w:pPr>
      <w:r>
        <w:t>Volatility forecasting matters for position sizing, option pricing, margin setting and risk limits, and it is a well-studied problem: realized volatility is highly persistent, so yesterday's volatility is a strong forecast of tomorrow's (Andersen et al., 2003; Corsi, 2009). Any new feature therefore has to beat a demanding benchmark. This project tests whether unlock information clears that bar, using the machine-learning methods covered in MH6805 and a protocol designed so that the result can be trusted as an out-of-sample statement.</w:t>
      </w:r>
    </w:p>
    <w:p>
      <w:pPr>
        <w:pStyle w:val="Heading1"/>
      </w:pPr>
      <w:r>
        <w:t>2  Problem Statement and Objectives</w:t>
      </w:r>
    </w:p>
    <w:p>
      <w:pPr>
        <w:jc w:val="both"/>
      </w:pPr>
      <w:r>
        <w:rPr>
          <w:b/>
        </w:rPr>
        <w:t>Research question.</w:t>
      </w:r>
      <w:r>
        <w:t xml:space="preserve"> Do scheduled token-unlock features add forecasting power for a token's forward 14-day realized volatility </w:t>
      </w:r>
      <w:r>
        <w:rPr>
          <w:b/>
        </w:rPr>
        <w:t>beyond</w:t>
      </w:r>
      <w:r>
        <w:t xml:space="preserve"> volatility persistence and the market regime?</w:t>
      </w:r>
    </w:p>
    <w:p>
      <w:pPr>
        <w:jc w:val="both"/>
      </w:pPr>
      <w:r>
        <w:t xml:space="preserve">The question is about incremental value, not about whether a good volatility model can be built. We therefore fix the design so that the answer is read off one comparison: every model is trained twice, on </w:t>
      </w:r>
      <w:r>
        <w:rPr>
          <w:b/>
        </w:rPr>
        <w:t>control features only</w:t>
      </w:r>
      <w:r>
        <w:t xml:space="preserve"> and on </w:t>
      </w:r>
      <w:r>
        <w:rPr>
          <w:b/>
        </w:rPr>
        <w:t>controls + emission + static features</w:t>
      </w:r>
      <w:r>
        <w:t>, with identical rows, folds and tuning. The difference between the two runs is the finding; a null or negative difference is a valid result. Our objectives are:</w:t>
      </w:r>
    </w:p>
    <w:p>
      <w:pPr>
        <w:pStyle w:val="ListBullet"/>
        <w:spacing w:after="40"/>
        <w:jc w:val="both"/>
      </w:pPr>
      <w:r>
        <w:rPr>
          <w:b/>
        </w:rPr>
        <w:t>O1.</w:t>
      </w:r>
      <w:r>
        <w:t xml:space="preserve"> Build a leakage-free token-day panel in which every input is known at the close of day D.</w:t>
      </w:r>
    </w:p>
    <w:p>
      <w:pPr>
        <w:pStyle w:val="ListBullet"/>
        <w:spacing w:after="40"/>
        <w:jc w:val="both"/>
      </w:pPr>
      <w:r>
        <w:rPr>
          <w:b/>
        </w:rPr>
        <w:t>O2.</w:t>
      </w:r>
      <w:r>
        <w:t xml:space="preserve"> Forecast log forward 14-day realized volatility with at least four regression models (KNN, Random Forest, Ridge, Elastic Net) and benchmark them against persistence and the training mean.</w:t>
      </w:r>
    </w:p>
    <w:p>
      <w:pPr>
        <w:pStyle w:val="ListBullet"/>
        <w:spacing w:after="40"/>
        <w:jc w:val="both"/>
      </w:pPr>
      <w:r>
        <w:rPr>
          <w:b/>
        </w:rPr>
        <w:t>O3.</w:t>
      </w:r>
      <w:r>
        <w:t xml:space="preserve"> Measure the incremental contribution of unlock features per model and per fold, and check its stability across panel frequency, alternative targets and a hand-curated token subsample.</w:t>
      </w:r>
    </w:p>
    <w:p>
      <w:pPr>
        <w:pStyle w:val="ListBullet"/>
        <w:spacing w:after="40"/>
        <w:jc w:val="both"/>
      </w:pPr>
      <w:r>
        <w:rPr>
          <w:b/>
        </w:rPr>
        <w:t>O4.</w:t>
      </w:r>
      <w:r>
        <w:t xml:space="preserve"> Re-ask the question as classification (logistic regression on high-volatility events) and interpret what the models learn from unlock features.</w:t>
      </w:r>
    </w:p>
    <w:p>
      <w:pPr>
        <w:pStyle w:val="Heading1"/>
      </w:pPr>
      <w:r>
        <w:t>3  Dataset</w:t>
      </w:r>
    </w:p>
    <w:p>
      <w:pPr>
        <w:pStyle w:val="Heading2"/>
      </w:pPr>
      <w:r>
        <w:t>3.1  Sources and construction</w:t>
      </w:r>
    </w:p>
    <w:p>
      <w:pPr>
        <w:jc w:val="both"/>
      </w:pPr>
      <w:r>
        <w:t xml:space="preserve">The panel combines two real data sources. </w:t>
      </w:r>
      <w:r>
        <w:rPr>
          <w:b/>
        </w:rPr>
        <w:t>Prices</w:t>
      </w:r>
      <w:r>
        <w:t xml:space="preserve"> are Binance USDT-pair daily klines (open, high, low, close), from which we compute returns and realized volatility. </w:t>
      </w:r>
      <w:r>
        <w:rPr>
          <w:b/>
        </w:rPr>
        <w:t>Unlock schedules and allocations</w:t>
      </w:r>
      <w:r>
        <w:t xml:space="preserve"> come from the Tokenomist API (daily emission, unlock events and allocation endpoints). The universe is the 176 tokens that have both a Tokenomist schedule and a Binance USDT pair; the sample runs from 2024-09-14 to 2026-08-15 (one row per token per calendar day, 101,393 rows after cleaning; median 701 days per token). A weekly panel (first day of each ISO week, 14,623 rows) is used as a robustness check because daily rows of a 14-day target overlap heavily.</w:t>
      </w:r>
    </w:p>
    <w:p>
      <w:pPr>
        <w:pStyle w:val="Heading2"/>
      </w:pPr>
      <w:r>
        <w:t>3.2  Target and features</w:t>
      </w:r>
    </w:p>
    <w:p>
      <w:pPr>
        <w:jc w:val="both"/>
      </w:pPr>
      <w:r>
        <w:t>The target is y = log(RV₁₄), where RV₁₄ is the annualized realized volatility of daily close-to-close log returns over days D+1 to D+14, √(365/14 · Σ r²). Logging makes the heavy-tailed target close to symmetric, and all errors are reported in log-volatility space. Features fall into three groups (full list in Table A1):</w:t>
      </w:r>
    </w:p>
    <w:p>
      <w:pPr>
        <w:keepNext/>
        <w:spacing w:after="40"/>
        <w:jc w:val="both"/>
      </w:pPr>
      <w:r>
        <w:rPr>
          <w:b/>
          <w:color w:val="5A6070"/>
          <w:sz w:val="18"/>
        </w:rPr>
        <w:t>Table 1. Feature groups. FULL = all 32 features.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2433"/>
          </w:tcPr>
          <w:p>
            <w:pPr>
              <w:spacing w:after="0"/>
              <w:jc w:val="left"/>
            </w:pPr>
            <w:r>
              <w:rPr>
                <w:b/>
                <w:color w:val="FFFFFF"/>
              </w:rPr>
            </w:r>
            <w:r>
              <w:rPr>
                <w:b/>
                <w:color w:val="FFFFFF"/>
                <w:sz w:val="17"/>
              </w:rPr>
              <w:t>Group</w:t>
            </w:r>
          </w:p>
        </w:tc>
        <w:tc>
          <w:tcPr>
            <w:tcW w:type="dxa" w:w="454"/>
            <w:shd w:val="clear" w:color="auto" w:fill="1F2433"/>
          </w:tcPr>
          <w:p>
            <w:pPr>
              <w:spacing w:after="0"/>
              <w:jc w:val="center"/>
            </w:pPr>
            <w:r>
              <w:rPr>
                <w:b/>
                <w:color w:val="FFFFFF"/>
              </w:rPr>
            </w:r>
            <w:r>
              <w:rPr>
                <w:b/>
                <w:color w:val="FFFFFF"/>
                <w:sz w:val="17"/>
              </w:rPr>
              <w:t>#</w:t>
            </w:r>
          </w:p>
        </w:tc>
        <w:tc>
          <w:tcPr>
            <w:tcW w:type="dxa" w:w="5443"/>
            <w:shd w:val="clear" w:color="auto" w:fill="1F2433"/>
          </w:tcPr>
          <w:p>
            <w:pPr>
              <w:spacing w:after="0"/>
              <w:jc w:val="left"/>
            </w:pPr>
            <w:r>
              <w:rPr>
                <w:b/>
                <w:color w:val="FFFFFF"/>
              </w:rPr>
            </w:r>
            <w:r>
              <w:rPr>
                <w:b/>
                <w:color w:val="FFFFFF"/>
                <w:sz w:val="17"/>
              </w:rPr>
              <w:t>Features</w:t>
            </w:r>
          </w:p>
        </w:tc>
        <w:tc>
          <w:tcPr>
            <w:tcW w:type="dxa" w:w="2494"/>
            <w:shd w:val="clear" w:color="auto" w:fill="1F2433"/>
          </w:tcPr>
          <w:p>
            <w:pPr>
              <w:spacing w:after="0"/>
              <w:jc w:val="left"/>
            </w:pPr>
            <w:r>
              <w:rPr>
                <w:b/>
                <w:color w:val="FFFFFF"/>
              </w:rPr>
            </w:r>
            <w:r>
              <w:rPr>
                <w:b/>
                <w:color w:val="FFFFFF"/>
                <w:sz w:val="17"/>
              </w:rPr>
              <w:t>Role</w:t>
            </w:r>
          </w:p>
        </w:tc>
      </w:tr>
      <w:tr>
        <w:tc>
          <w:tcPr>
            <w:tcW w:type="dxa" w:w="1247"/>
          </w:tcPr>
          <w:p>
            <w:pPr>
              <w:spacing w:after="0"/>
              <w:jc w:val="left"/>
            </w:pPr>
            <w:r/>
            <w:r>
              <w:rPr>
                <w:sz w:val="17"/>
              </w:rPr>
              <w:t>CONTROLS</w:t>
            </w:r>
          </w:p>
        </w:tc>
        <w:tc>
          <w:tcPr>
            <w:tcW w:type="dxa" w:w="454"/>
          </w:tcPr>
          <w:p>
            <w:pPr>
              <w:spacing w:after="0"/>
              <w:jc w:val="center"/>
            </w:pPr>
            <w:r/>
            <w:r>
              <w:rPr>
                <w:sz w:val="17"/>
              </w:rPr>
              <w:t>9</w:t>
            </w:r>
          </w:p>
        </w:tc>
        <w:tc>
          <w:tcPr>
            <w:tcW w:type="dxa" w:w="5443"/>
          </w:tcPr>
          <w:p>
            <w:pPr>
              <w:spacing w:after="0"/>
              <w:jc w:val="left"/>
            </w:pPr>
            <w:r/>
            <w:r>
              <w:rPr>
                <w:sz w:val="17"/>
              </w:rPr>
              <w:t>Trailing RV (7, 14, 30d), trailing return (7, 30d), BTC and ETH 14d RV, log market cap, days since launch</w:t>
            </w:r>
          </w:p>
        </w:tc>
        <w:tc>
          <w:tcPr>
            <w:tcW w:type="dxa" w:w="2494"/>
          </w:tcPr>
          <w:p>
            <w:pPr>
              <w:spacing w:after="0"/>
              <w:jc w:val="left"/>
            </w:pPr>
            <w:r/>
            <w:r>
              <w:rPr>
                <w:sz w:val="17"/>
              </w:rPr>
              <w:t>Persistence, momentum, market regime, size, age</w:t>
            </w:r>
          </w:p>
        </w:tc>
      </w:tr>
      <w:tr>
        <w:tc>
          <w:tcPr>
            <w:tcW w:type="dxa" w:w="1247"/>
            <w:shd w:val="clear" w:color="auto" w:fill="F1F3F6"/>
          </w:tcPr>
          <w:p>
            <w:pPr>
              <w:spacing w:after="0"/>
              <w:jc w:val="left"/>
            </w:pPr>
            <w:r/>
            <w:r>
              <w:rPr>
                <w:sz w:val="17"/>
              </w:rPr>
              <w:t>EMISSION</w:t>
            </w:r>
          </w:p>
        </w:tc>
        <w:tc>
          <w:tcPr>
            <w:tcW w:type="dxa" w:w="454"/>
            <w:shd w:val="clear" w:color="auto" w:fill="F1F3F6"/>
          </w:tcPr>
          <w:p>
            <w:pPr>
              <w:spacing w:after="0"/>
              <w:jc w:val="center"/>
            </w:pPr>
            <w:r/>
            <w:r>
              <w:rPr>
                <w:sz w:val="17"/>
              </w:rPr>
              <w:t>13</w:t>
            </w:r>
          </w:p>
        </w:tc>
        <w:tc>
          <w:tcPr>
            <w:tcW w:type="dxa" w:w="5443"/>
            <w:shd w:val="clear" w:color="auto" w:fill="F1F3F6"/>
          </w:tcPr>
          <w:p>
            <w:pPr>
              <w:spacing w:after="0"/>
              <w:jc w:val="left"/>
            </w:pPr>
            <w:r/>
            <w:r>
              <w:rPr>
                <w:sz w:val="17"/>
              </w:rPr>
              <w:t>Share of float unlocking in next 7/30/90d, 30d share of total supply, days to and size of next cliff, has-cliff flag, 30d unlocks split by six recipient groups</w:t>
            </w:r>
          </w:p>
        </w:tc>
        <w:tc>
          <w:tcPr>
            <w:tcW w:type="dxa" w:w="2494"/>
            <w:shd w:val="clear" w:color="auto" w:fill="F1F3F6"/>
          </w:tcPr>
          <w:p>
            <w:pPr>
              <w:spacing w:after="0"/>
              <w:jc w:val="left"/>
            </w:pPr>
            <w:r/>
            <w:r>
              <w:rPr>
                <w:sz w:val="17"/>
              </w:rPr>
              <w:t>Forward-looking, published schedule</w:t>
            </w:r>
          </w:p>
        </w:tc>
      </w:tr>
      <w:tr>
        <w:tc>
          <w:tcPr>
            <w:tcW w:type="dxa" w:w="1247"/>
          </w:tcPr>
          <w:p>
            <w:pPr>
              <w:spacing w:after="0"/>
              <w:jc w:val="left"/>
            </w:pPr>
            <w:r/>
            <w:r>
              <w:rPr>
                <w:sz w:val="17"/>
              </w:rPr>
              <w:t>STATIC</w:t>
            </w:r>
          </w:p>
        </w:tc>
        <w:tc>
          <w:tcPr>
            <w:tcW w:type="dxa" w:w="454"/>
          </w:tcPr>
          <w:p>
            <w:pPr>
              <w:spacing w:after="0"/>
              <w:jc w:val="center"/>
            </w:pPr>
            <w:r/>
            <w:r>
              <w:rPr>
                <w:sz w:val="17"/>
              </w:rPr>
              <w:t>10</w:t>
            </w:r>
          </w:p>
        </w:tc>
        <w:tc>
          <w:tcPr>
            <w:tcW w:type="dxa" w:w="5443"/>
          </w:tcPr>
          <w:p>
            <w:pPr>
              <w:spacing w:after="0"/>
              <w:jc w:val="left"/>
            </w:pPr>
            <w:r/>
            <w:r>
              <w:rPr>
                <w:sz w:val="17"/>
              </w:rPr>
              <w:t>Allocation shares of six recipient groups, Tokenomist listing method (3 one-hots), unlock precision</w:t>
            </w:r>
          </w:p>
        </w:tc>
        <w:tc>
          <w:tcPr>
            <w:tcW w:type="dxa" w:w="2494"/>
          </w:tcPr>
          <w:p>
            <w:pPr>
              <w:spacing w:after="0"/>
              <w:jc w:val="left"/>
            </w:pPr>
            <w:r/>
            <w:r>
              <w:rPr>
                <w:sz w:val="17"/>
              </w:rPr>
              <w:t>Token design, data quality</w:t>
            </w:r>
          </w:p>
        </w:tc>
      </w:tr>
    </w:tbl>
    <w:p>
      <w:pPr>
        <w:spacing w:after="40"/>
      </w:pPr>
    </w:p>
    <w:p>
      <w:pPr>
        <w:pStyle w:val="Heading2"/>
      </w:pPr>
      <w:r>
        <w:t>3.3  Pre-processing and leakage control</w:t>
      </w:r>
    </w:p>
    <w:p>
      <w:pPr>
        <w:jc w:val="both"/>
      </w:pPr>
      <w:r>
        <w:t xml:space="preserve">Cleaning is a fixed, deterministic step with nothing learned from the data: rows without a target or without 30 days of price history are dropped; long-tailed emission ratios are log1p-transformed; the two structurally missing cliff columns are filled (days to next cliff = 365, size = 0) for the 51% of rows with no remaining cliff; categorical columns are encoded with fixed category lists. After cleaning no feature has missing values. The </w:t>
      </w:r>
      <w:r>
        <w:rPr>
          <w:b/>
        </w:rPr>
        <w:t>ex-ante rule</w:t>
      </w:r>
      <w:r>
        <w:t xml:space="preserve"> is enforced throughout: a feature must be known at the close of D, the targets are never inputs, and the only forward-looking inputs are the published schedule columns. One caveat cannot be engineered away: schedules are the version curated on the pull date (2026-09-14), so later revisions are reflected in the past (Section 6).</w:t>
      </w:r>
    </w:p>
    <w:p>
      <w:pPr>
        <w:pStyle w:val="Heading2"/>
      </w:pPr>
      <w:r>
        <w:t>3.4  Exploratory analysis</w:t>
      </w:r>
    </w:p>
    <w:p>
      <w:pPr>
        <w:jc w:val="both"/>
      </w:pPr>
      <w:r>
        <w:t>Unlock pressure is concentrated: in half of all token-days less than 1% of the float unlocks in the next 30 days, while the top decile faces a median of 8.4%. Figure 1 shows that forward volatility does rise with unlock pressure: mean RV₁₄ climbs from about 0.97 in the lowest decile to 1.14 in the highest. The pooled Spearman correlation between 30-day unlock pressure and the target is 0.14, the per-token median is 0.22 and it is positive for 74% of tokens. The raw relationship is therefore real; the question is whether it survives once trailing volatility, which is itself correlated with unlock pressure (young, high-emission tokens are volatile), is controlled for.</w:t>
      </w:r>
    </w:p>
    <w:p>
      <w:pPr>
        <w:keepNext/>
        <w:spacing w:after="0"/>
        <w:jc w:val="center"/>
      </w:pPr>
      <w:r>
        <w:drawing>
          <wp:inline xmlns:a="http://schemas.openxmlformats.org/drawingml/2006/main" xmlns:pic="http://schemas.openxmlformats.org/drawingml/2006/picture">
            <wp:extent cx="4140000" cy="2646297"/>
            <wp:docPr id="1" name="Picture 1"/>
            <wp:cNvGraphicFramePr>
              <a:graphicFrameLocks noChangeAspect="1"/>
            </wp:cNvGraphicFramePr>
            <a:graphic>
              <a:graphicData uri="http://schemas.openxmlformats.org/drawingml/2006/picture">
                <pic:pic>
                  <pic:nvPicPr>
                    <pic:cNvPr id="0" name="eda_decile_emission_vs_rv.png"/>
                    <pic:cNvPicPr/>
                  </pic:nvPicPr>
                  <pic:blipFill>
                    <a:blip r:embed="rId10"/>
                    <a:stretch>
                      <a:fillRect/>
                    </a:stretch>
                  </pic:blipFill>
                  <pic:spPr>
                    <a:xfrm>
                      <a:off x="0" y="0"/>
                      <a:ext cx="4140000" cy="2646297"/>
                    </a:xfrm>
                    <a:prstGeom prst="rect"/>
                  </pic:spPr>
                </pic:pic>
              </a:graphicData>
            </a:graphic>
          </wp:inline>
        </w:drawing>
      </w:r>
    </w:p>
    <w:p>
      <w:pPr>
        <w:spacing w:after="120"/>
        <w:jc w:val="center"/>
      </w:pPr>
      <w:r>
        <w:rPr>
          <w:color w:val="5A6070"/>
          <w:sz w:val="18"/>
        </w:rPr>
        <w:t>Figure 1. Forward 14-day realized volatility by decile of 30-day unlock pressure (share of float unlocking), daily panel.</w:t>
      </w:r>
    </w:p>
    <w:p>
      <w:pPr>
        <w:pStyle w:val="Heading1"/>
      </w:pPr>
      <w:r>
        <w:t>4  Methodology</w:t>
      </w:r>
    </w:p>
    <w:p>
      <w:pPr>
        <w:pStyle w:val="Heading2"/>
      </w:pPr>
      <w:r>
        <w:t>4.1  Walk-forward validation (no shuffling)</w:t>
      </w:r>
    </w:p>
    <w:p>
      <w:pPr>
        <w:jc w:val="both"/>
      </w:pPr>
      <w:r>
        <w:t xml:space="preserve">Rows of a panel time series are not exchangeable, and a 14-day forward target makes neighbouring days share most of their future. We therefore never shuffle and never use k-fold cross-validation. Five walk-forward folds are cut by calendar date with all tokens pooled, cutoffs every 90 days over the last 450 days (Table 2). For cutoff c, training uses dates ≤ c − 30 days (a 30-day embargo, longer than the 14-day target horizon, following López de Prado, 2018) and testing uses the 90 days after c. Hyper-parameters are tuned inside each fold: the last 90 days of training are a validation slice, candidate models are fit on the training data before it (with a further 30-day purge) and scored by validation RMSE; the best configuration is refit on all training data and scored </w:t>
      </w:r>
      <w:r>
        <w:rPr>
          <w:b/>
        </w:rPr>
        <w:t>once</w:t>
      </w:r>
      <w:r>
        <w:t xml:space="preserve"> on the test window. Tuning never sees test data. All scalers and transformers sit inside a scikit-learn Pipeline, so they are fit on the training slice of the current fold only; random_state = 42 everywhere.</w:t>
      </w:r>
    </w:p>
    <w:p>
      <w:pPr>
        <w:keepNext/>
        <w:spacing w:after="40"/>
        <w:jc w:val="both"/>
      </w:pPr>
      <w:r>
        <w:rPr>
          <w:b/>
          <w:color w:val="5A6070"/>
          <w:sz w:val="18"/>
        </w:rPr>
        <w:t>Table 2. Walk-forward folds (daily panel). The training window expands.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794"/>
            <w:shd w:val="clear" w:color="auto" w:fill="1F2433"/>
          </w:tcPr>
          <w:p>
            <w:pPr>
              <w:spacing w:after="0"/>
              <w:jc w:val="left"/>
            </w:pPr>
            <w:r>
              <w:rPr>
                <w:b/>
                <w:color w:val="FFFFFF"/>
              </w:rPr>
            </w:r>
            <w:r>
              <w:rPr>
                <w:b/>
                <w:color w:val="FFFFFF"/>
                <w:sz w:val="17"/>
              </w:rPr>
              <w:t>Fold</w:t>
            </w:r>
          </w:p>
        </w:tc>
        <w:tc>
          <w:tcPr>
            <w:tcW w:type="dxa" w:w="1587"/>
            <w:shd w:val="clear" w:color="auto" w:fill="1F2433"/>
          </w:tcPr>
          <w:p>
            <w:pPr>
              <w:spacing w:after="0"/>
              <w:jc w:val="center"/>
            </w:pPr>
            <w:r>
              <w:rPr>
                <w:b/>
                <w:color w:val="FFFFFF"/>
              </w:rPr>
            </w:r>
            <w:r>
              <w:rPr>
                <w:b/>
                <w:color w:val="FFFFFF"/>
                <w:sz w:val="17"/>
              </w:rPr>
              <w:t>Cutoff</w:t>
            </w:r>
          </w:p>
        </w:tc>
        <w:tc>
          <w:tcPr>
            <w:tcW w:type="dxa" w:w="1474"/>
            <w:shd w:val="clear" w:color="auto" w:fill="1F2433"/>
          </w:tcPr>
          <w:p>
            <w:pPr>
              <w:spacing w:after="0"/>
              <w:jc w:val="center"/>
            </w:pPr>
            <w:r>
              <w:rPr>
                <w:b/>
                <w:color w:val="FFFFFF"/>
              </w:rPr>
            </w:r>
            <w:r>
              <w:rPr>
                <w:b/>
                <w:color w:val="FFFFFF"/>
                <w:sz w:val="17"/>
              </w:rPr>
              <w:t>Train rows</w:t>
            </w:r>
          </w:p>
        </w:tc>
        <w:tc>
          <w:tcPr>
            <w:tcW w:type="dxa" w:w="1474"/>
            <w:shd w:val="clear" w:color="auto" w:fill="1F2433"/>
          </w:tcPr>
          <w:p>
            <w:pPr>
              <w:spacing w:after="0"/>
              <w:jc w:val="center"/>
            </w:pPr>
            <w:r>
              <w:rPr>
                <w:b/>
                <w:color w:val="FFFFFF"/>
              </w:rPr>
            </w:r>
            <w:r>
              <w:rPr>
                <w:b/>
                <w:color w:val="FFFFFF"/>
                <w:sz w:val="17"/>
              </w:rPr>
              <w:t>Test rows</w:t>
            </w:r>
          </w:p>
        </w:tc>
        <w:tc>
          <w:tcPr>
            <w:tcW w:type="dxa" w:w="2381"/>
            <w:shd w:val="clear" w:color="auto" w:fill="1F2433"/>
          </w:tcPr>
          <w:p>
            <w:pPr>
              <w:spacing w:after="0"/>
              <w:jc w:val="center"/>
            </w:pPr>
            <w:r>
              <w:rPr>
                <w:b/>
                <w:color w:val="FFFFFF"/>
              </w:rPr>
            </w:r>
            <w:r>
              <w:rPr>
                <w:b/>
                <w:color w:val="FFFFFF"/>
                <w:sz w:val="17"/>
              </w:rPr>
              <w:t>Test window</w:t>
            </w:r>
          </w:p>
        </w:tc>
      </w:tr>
      <w:tr>
        <w:tc>
          <w:tcPr>
            <w:tcW w:type="dxa" w:w="794"/>
          </w:tcPr>
          <w:p>
            <w:pPr>
              <w:spacing w:after="0"/>
              <w:jc w:val="left"/>
            </w:pPr>
            <w:r/>
            <w:r>
              <w:rPr>
                <w:sz w:val="17"/>
              </w:rPr>
              <w:t>1</w:t>
            </w:r>
          </w:p>
        </w:tc>
        <w:tc>
          <w:tcPr>
            <w:tcW w:type="dxa" w:w="1587"/>
          </w:tcPr>
          <w:p>
            <w:pPr>
              <w:spacing w:after="0"/>
              <w:jc w:val="center"/>
            </w:pPr>
            <w:r/>
            <w:r>
              <w:rPr>
                <w:sz w:val="17"/>
              </w:rPr>
              <w:t>2025-05-22</w:t>
            </w:r>
          </w:p>
        </w:tc>
        <w:tc>
          <w:tcPr>
            <w:tcW w:type="dxa" w:w="1474"/>
          </w:tcPr>
          <w:p>
            <w:pPr>
              <w:spacing w:after="0"/>
              <w:jc w:val="center"/>
            </w:pPr>
            <w:r/>
            <w:r>
              <w:rPr>
                <w:sz w:val="17"/>
              </w:rPr>
              <w:t>24,122</w:t>
            </w:r>
          </w:p>
        </w:tc>
        <w:tc>
          <w:tcPr>
            <w:tcW w:type="dxa" w:w="1474"/>
          </w:tcPr>
          <w:p>
            <w:pPr>
              <w:spacing w:after="0"/>
              <w:jc w:val="center"/>
            </w:pPr>
            <w:r/>
            <w:r>
              <w:rPr>
                <w:sz w:val="17"/>
              </w:rPr>
              <w:t>12,730</w:t>
            </w:r>
          </w:p>
        </w:tc>
        <w:tc>
          <w:tcPr>
            <w:tcW w:type="dxa" w:w="2381"/>
          </w:tcPr>
          <w:p>
            <w:pPr>
              <w:spacing w:after="0"/>
              <w:jc w:val="center"/>
            </w:pPr>
            <w:r/>
            <w:r>
              <w:rPr>
                <w:sz w:val="17"/>
              </w:rPr>
              <w:t>2025-05-22 + 90 days</w:t>
            </w:r>
          </w:p>
        </w:tc>
      </w:tr>
      <w:tr>
        <w:tc>
          <w:tcPr>
            <w:tcW w:type="dxa" w:w="794"/>
            <w:shd w:val="clear" w:color="auto" w:fill="F1F3F6"/>
          </w:tcPr>
          <w:p>
            <w:pPr>
              <w:spacing w:after="0"/>
              <w:jc w:val="left"/>
            </w:pPr>
            <w:r/>
            <w:r>
              <w:rPr>
                <w:sz w:val="17"/>
              </w:rPr>
              <w:t>2</w:t>
            </w:r>
          </w:p>
        </w:tc>
        <w:tc>
          <w:tcPr>
            <w:tcW w:type="dxa" w:w="1587"/>
            <w:shd w:val="clear" w:color="auto" w:fill="F1F3F6"/>
          </w:tcPr>
          <w:p>
            <w:pPr>
              <w:spacing w:after="0"/>
              <w:jc w:val="center"/>
            </w:pPr>
            <w:r/>
            <w:r>
              <w:rPr>
                <w:sz w:val="17"/>
              </w:rPr>
              <w:t>2025-08-20</w:t>
            </w:r>
          </w:p>
        </w:tc>
        <w:tc>
          <w:tcPr>
            <w:tcW w:type="dxa" w:w="1474"/>
            <w:shd w:val="clear" w:color="auto" w:fill="F1F3F6"/>
          </w:tcPr>
          <w:p>
            <w:pPr>
              <w:spacing w:after="0"/>
              <w:jc w:val="center"/>
            </w:pPr>
            <w:r/>
            <w:r>
              <w:rPr>
                <w:sz w:val="17"/>
              </w:rPr>
              <w:t>36,322</w:t>
            </w:r>
          </w:p>
        </w:tc>
        <w:tc>
          <w:tcPr>
            <w:tcW w:type="dxa" w:w="1474"/>
            <w:shd w:val="clear" w:color="auto" w:fill="F1F3F6"/>
          </w:tcPr>
          <w:p>
            <w:pPr>
              <w:spacing w:after="0"/>
              <w:jc w:val="center"/>
            </w:pPr>
            <w:r/>
            <w:r>
              <w:rPr>
                <w:sz w:val="17"/>
              </w:rPr>
              <w:t>13,880</w:t>
            </w:r>
          </w:p>
        </w:tc>
        <w:tc>
          <w:tcPr>
            <w:tcW w:type="dxa" w:w="2381"/>
            <w:shd w:val="clear" w:color="auto" w:fill="F1F3F6"/>
          </w:tcPr>
          <w:p>
            <w:pPr>
              <w:spacing w:after="0"/>
              <w:jc w:val="center"/>
            </w:pPr>
            <w:r/>
            <w:r>
              <w:rPr>
                <w:sz w:val="17"/>
              </w:rPr>
              <w:t>2025-08-20 + 90 days</w:t>
            </w:r>
          </w:p>
        </w:tc>
      </w:tr>
      <w:tr>
        <w:tc>
          <w:tcPr>
            <w:tcW w:type="dxa" w:w="794"/>
          </w:tcPr>
          <w:p>
            <w:pPr>
              <w:spacing w:after="0"/>
              <w:jc w:val="left"/>
            </w:pPr>
            <w:r/>
            <w:r>
              <w:rPr>
                <w:sz w:val="17"/>
              </w:rPr>
              <w:t>3</w:t>
            </w:r>
          </w:p>
        </w:tc>
        <w:tc>
          <w:tcPr>
            <w:tcW w:type="dxa" w:w="1587"/>
          </w:tcPr>
          <w:p>
            <w:pPr>
              <w:spacing w:after="0"/>
              <w:jc w:val="center"/>
            </w:pPr>
            <w:r/>
            <w:r>
              <w:rPr>
                <w:sz w:val="17"/>
              </w:rPr>
              <w:t>2025-11-18</w:t>
            </w:r>
          </w:p>
        </w:tc>
        <w:tc>
          <w:tcPr>
            <w:tcW w:type="dxa" w:w="1474"/>
          </w:tcPr>
          <w:p>
            <w:pPr>
              <w:spacing w:after="0"/>
              <w:jc w:val="center"/>
            </w:pPr>
            <w:r/>
            <w:r>
              <w:rPr>
                <w:sz w:val="17"/>
              </w:rPr>
              <w:t>49,730</w:t>
            </w:r>
          </w:p>
        </w:tc>
        <w:tc>
          <w:tcPr>
            <w:tcW w:type="dxa" w:w="1474"/>
          </w:tcPr>
          <w:p>
            <w:pPr>
              <w:spacing w:after="0"/>
              <w:jc w:val="center"/>
            </w:pPr>
            <w:r/>
            <w:r>
              <w:rPr>
                <w:sz w:val="17"/>
              </w:rPr>
              <w:t>15,248</w:t>
            </w:r>
          </w:p>
        </w:tc>
        <w:tc>
          <w:tcPr>
            <w:tcW w:type="dxa" w:w="2381"/>
          </w:tcPr>
          <w:p>
            <w:pPr>
              <w:spacing w:after="0"/>
              <w:jc w:val="center"/>
            </w:pPr>
            <w:r/>
            <w:r>
              <w:rPr>
                <w:sz w:val="17"/>
              </w:rPr>
              <w:t>2025-11-18 + 90 days</w:t>
            </w:r>
          </w:p>
        </w:tc>
      </w:tr>
      <w:tr>
        <w:tc>
          <w:tcPr>
            <w:tcW w:type="dxa" w:w="794"/>
            <w:shd w:val="clear" w:color="auto" w:fill="F1F3F6"/>
          </w:tcPr>
          <w:p>
            <w:pPr>
              <w:spacing w:after="0"/>
              <w:jc w:val="left"/>
            </w:pPr>
            <w:r/>
            <w:r>
              <w:rPr>
                <w:sz w:val="17"/>
              </w:rPr>
              <w:t>4</w:t>
            </w:r>
          </w:p>
        </w:tc>
        <w:tc>
          <w:tcPr>
            <w:tcW w:type="dxa" w:w="1587"/>
            <w:shd w:val="clear" w:color="auto" w:fill="F1F3F6"/>
          </w:tcPr>
          <w:p>
            <w:pPr>
              <w:spacing w:after="0"/>
              <w:jc w:val="center"/>
            </w:pPr>
            <w:r/>
            <w:r>
              <w:rPr>
                <w:sz w:val="17"/>
              </w:rPr>
              <w:t>2026-02-16</w:t>
            </w:r>
          </w:p>
        </w:tc>
        <w:tc>
          <w:tcPr>
            <w:tcW w:type="dxa" w:w="1474"/>
            <w:shd w:val="clear" w:color="auto" w:fill="F1F3F6"/>
          </w:tcPr>
          <w:p>
            <w:pPr>
              <w:spacing w:after="0"/>
              <w:jc w:val="center"/>
            </w:pPr>
            <w:r/>
            <w:r>
              <w:rPr>
                <w:sz w:val="17"/>
              </w:rPr>
              <w:t>64,731</w:t>
            </w:r>
          </w:p>
        </w:tc>
        <w:tc>
          <w:tcPr>
            <w:tcW w:type="dxa" w:w="1474"/>
            <w:shd w:val="clear" w:color="auto" w:fill="F1F3F6"/>
          </w:tcPr>
          <w:p>
            <w:pPr>
              <w:spacing w:after="0"/>
              <w:jc w:val="center"/>
            </w:pPr>
            <w:r/>
            <w:r>
              <w:rPr>
                <w:sz w:val="17"/>
              </w:rPr>
              <w:t>15,716</w:t>
            </w:r>
          </w:p>
        </w:tc>
        <w:tc>
          <w:tcPr>
            <w:tcW w:type="dxa" w:w="2381"/>
            <w:shd w:val="clear" w:color="auto" w:fill="F1F3F6"/>
          </w:tcPr>
          <w:p>
            <w:pPr>
              <w:spacing w:after="0"/>
              <w:jc w:val="center"/>
            </w:pPr>
            <w:r/>
            <w:r>
              <w:rPr>
                <w:sz w:val="17"/>
              </w:rPr>
              <w:t>2026-02-16 + 90 days</w:t>
            </w:r>
          </w:p>
        </w:tc>
      </w:tr>
      <w:tr>
        <w:tc>
          <w:tcPr>
            <w:tcW w:type="dxa" w:w="794"/>
          </w:tcPr>
          <w:p>
            <w:pPr>
              <w:spacing w:after="0"/>
              <w:jc w:val="left"/>
            </w:pPr>
            <w:r/>
            <w:r>
              <w:rPr>
                <w:sz w:val="17"/>
              </w:rPr>
              <w:t>5</w:t>
            </w:r>
          </w:p>
        </w:tc>
        <w:tc>
          <w:tcPr>
            <w:tcW w:type="dxa" w:w="1587"/>
          </w:tcPr>
          <w:p>
            <w:pPr>
              <w:spacing w:after="0"/>
              <w:jc w:val="center"/>
            </w:pPr>
            <w:r/>
            <w:r>
              <w:rPr>
                <w:sz w:val="17"/>
              </w:rPr>
              <w:t>2026-05-17</w:t>
            </w:r>
          </w:p>
        </w:tc>
        <w:tc>
          <w:tcPr>
            <w:tcW w:type="dxa" w:w="1474"/>
          </w:tcPr>
          <w:p>
            <w:pPr>
              <w:spacing w:after="0"/>
              <w:jc w:val="center"/>
            </w:pPr>
            <w:r/>
            <w:r>
              <w:rPr>
                <w:sz w:val="17"/>
              </w:rPr>
              <w:t>80,273</w:t>
            </w:r>
          </w:p>
        </w:tc>
        <w:tc>
          <w:tcPr>
            <w:tcW w:type="dxa" w:w="1474"/>
          </w:tcPr>
          <w:p>
            <w:pPr>
              <w:spacing w:after="0"/>
              <w:jc w:val="center"/>
            </w:pPr>
            <w:r/>
            <w:r>
              <w:rPr>
                <w:sz w:val="17"/>
              </w:rPr>
              <w:t>15,840</w:t>
            </w:r>
          </w:p>
        </w:tc>
        <w:tc>
          <w:tcPr>
            <w:tcW w:type="dxa" w:w="2381"/>
          </w:tcPr>
          <w:p>
            <w:pPr>
              <w:spacing w:after="0"/>
              <w:jc w:val="center"/>
            </w:pPr>
            <w:r/>
            <w:r>
              <w:rPr>
                <w:sz w:val="17"/>
              </w:rPr>
              <w:t>2026-05-17 + 90 days</w:t>
            </w:r>
          </w:p>
        </w:tc>
      </w:tr>
    </w:tbl>
    <w:p>
      <w:pPr>
        <w:spacing w:after="40"/>
      </w:pPr>
    </w:p>
    <w:p>
      <w:pPr>
        <w:pStyle w:val="Heading2"/>
      </w:pPr>
      <w:r>
        <w:t>4.2  Benchmarks and metrics</w:t>
      </w:r>
    </w:p>
    <w:p>
      <w:pPr>
        <w:jc w:val="both"/>
      </w:pPr>
      <w:r>
        <w:t xml:space="preserve">Two model-free benchmarks are reported. </w:t>
      </w:r>
      <w:r>
        <w:rPr>
          <w:b/>
        </w:rPr>
        <w:t>Persistence</w:t>
      </w:r>
      <w:r>
        <w:t xml:space="preserve"> forecasts y with log(RV past 14d), the natural random-walk volatility forecast. The </w:t>
      </w:r>
      <w:r>
        <w:rPr>
          <w:b/>
        </w:rPr>
        <w:t>training mean</w:t>
      </w:r>
      <w:r>
        <w:t xml:space="preserve"> forecasts the pooled mean of y in the training window. The headline metric is the out-of-sample R² against persistence (Campbell and Thompson, 2008), R²_oos = 1 − SSE_model / SSE_persistence: zero means the model ties persistence. We also report RMSE, MAE and Spearman rank correlation in log space. Because the training mean already beats persistence (R²_oos ≈ 0.17), models are judged against both benchmarks, and the unlock question is judged by the </w:t>
      </w:r>
      <w:r>
        <w:rPr>
          <w:b/>
        </w:rPr>
        <w:t>paired, per-fold difference</w:t>
      </w:r>
      <w:r>
        <w:t xml:space="preserve"> Δ = R²_oos(FULL) − R²_oos(CONTROLS).</w:t>
      </w:r>
    </w:p>
    <w:p>
      <w:pPr>
        <w:pStyle w:val="Heading2"/>
      </w:pPr>
      <w:r>
        <w:t>4.3  Models</w:t>
      </w:r>
    </w:p>
    <w:p>
      <w:pPr>
        <w:jc w:val="both"/>
      </w:pPr>
      <w:r>
        <w:rPr>
          <w:b/>
        </w:rPr>
        <w:t>K-nearest neighbours (KNN).</w:t>
      </w:r>
      <w:r>
        <w:t xml:space="preserve"> A non-parametric, distance-based regressor: the forecast is the (optionally distance-weighted) average target of the k most similar training token-days. A QuantileTransformer maps each feature to a normal scale so that no feature dominates the distance. Grid: k ∈ {5, 10, 25, 50, 100, 250} × {uniform, distance} weights. Tuning chose very large neighbourhoods (k = 100 to 250 in every fold), already a sign that the target is noisy relative to the feature signal. KNN is also run on CONTROLS+EMIS5 (controls plus the five headline unlock columns) to separate the information in unlock features from the curse of dimensionality.</w:t>
      </w:r>
    </w:p>
    <w:p>
      <w:pPr>
        <w:jc w:val="both"/>
      </w:pPr>
      <w:r>
        <w:rPr>
          <w:b/>
        </w:rPr>
        <w:t>Random Forest (RF).</w:t>
      </w:r>
      <w:r>
        <w:t xml:space="preserve"> An ensemble of 400 bootstrapped regression trees with random feature subsets (Breiman, 2001), which captures non-linearities and interactions, for example an unlock effect that matters only in calm markets. Grid: max_depth ∈ {None, 8, 12, 16} × min_samples_leaf ∈ {20, 50, 100} × max_features ∈ {sqrt, 0.33, 0.5}; daily runs evaluate a fixed seeded subset of 12 configurations for run time. Tuning consistently chose large leaves (50 to 100 rows), i.e. heavy smoothing. We interpret the FULL model with permutation importance on the last fold's test set and partial dependence plots.</w:t>
      </w:r>
    </w:p>
    <w:p>
      <w:pPr>
        <w:jc w:val="both"/>
      </w:pPr>
      <w:r>
        <w:rPr>
          <w:b/>
        </w:rPr>
        <w:t>Ridge regression.</w:t>
      </w:r>
      <w:r>
        <w:t xml:space="preserve"> Linear regression with an L2 penalty (Hoerl and Kennard, 1970), a strong benchmark for correlated predictors such as the three trailing-volatility windows. Volatility controls are logged inside the pipeline (a fixed transform) and all features standardized. Grid: α ∈ {0.1, …, 10⁷}. </w:t>
      </w:r>
      <w:r>
        <w:rPr>
          <w:b/>
        </w:rPr>
        <w:t>Elastic Net</w:t>
      </w:r>
      <w:r>
        <w:t xml:space="preserve"> adds an L1 penalty (Zou and Hastie, 2005), which can set coefficients exactly to zero and so performs feature selection: if unlock features carry signal, Elastic Net should keep them. Grid: α ∈ {10⁻⁴, …, 1} × l1_ratio ∈ {0.1, 0.5, 0.9}.</w:t>
      </w:r>
    </w:p>
    <w:p>
      <w:pPr>
        <w:jc w:val="both"/>
      </w:pPr>
      <w:r>
        <w:rPr>
          <w:b/>
        </w:rPr>
        <w:t>Logistic regression.</w:t>
      </w:r>
      <w:r>
        <w:t xml:space="preserve"> A classification view of the same question with an L2-penalised logistic model (C ∈ {10⁻⁵, …, 10}, tuned by validation log loss). Two events are defined from the forward target: </w:t>
      </w:r>
      <w:r>
        <w:rPr>
          <w:b/>
        </w:rPr>
        <w:t>top20_xs</w:t>
      </w:r>
      <w:r>
        <w:t xml:space="preserve">, the token is in the top 20% of forward volatility across all tokens on date D (base rate 20%); and </w:t>
      </w:r>
      <w:r>
        <w:rPr>
          <w:b/>
        </w:rPr>
        <w:t>spike_1.5x</w:t>
      </w:r>
      <w:r>
        <w:t>, forward volatility exceeds 1.5× the token's own trailing 30-day volatility (base rate 14%). We report threshold-free ROC-AUC and PR-AUC and the Brier skill score versus the training base rate; no resampling is used, since it would distort probabilities and the metrics do not depend on a threshold.</w:t>
      </w:r>
    </w:p>
    <w:p>
      <w:pPr>
        <w:pStyle w:val="Heading1"/>
      </w:pPr>
      <w:r>
        <w:t>5  Results</w:t>
      </w:r>
    </w:p>
    <w:p>
      <w:pPr>
        <w:pStyle w:val="Heading2"/>
      </w:pPr>
      <w:r>
        <w:t>5.1  Headline comparison</w:t>
      </w:r>
    </w:p>
    <w:p>
      <w:pPr>
        <w:keepNext/>
        <w:spacing w:after="40"/>
        <w:jc w:val="both"/>
      </w:pPr>
      <w:r>
        <w:rPr>
          <w:b/>
          <w:color w:val="5A6070"/>
          <w:sz w:val="18"/>
        </w:rPr>
        <w:t>Table 3. Test-set results, daily panel, target log RV₁₄, mean of 5 folds. Δ = FULL − CONTROLS in R²oos; “FULL wins” counts folds with Δ &gt; 0; ρ = Spearman.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87"/>
            <w:shd w:val="clear" w:color="auto" w:fill="1F2433"/>
          </w:tcPr>
          <w:p>
            <w:pPr>
              <w:spacing w:after="0"/>
              <w:jc w:val="left"/>
            </w:pPr>
            <w:r>
              <w:rPr>
                <w:b/>
                <w:color w:val="FFFFFF"/>
              </w:rPr>
            </w:r>
            <w:r>
              <w:rPr>
                <w:b/>
                <w:color w:val="FFFFFF"/>
                <w:sz w:val="17"/>
              </w:rPr>
              <w:t>Model</w:t>
            </w:r>
          </w:p>
        </w:tc>
        <w:tc>
          <w:tcPr>
            <w:tcW w:type="dxa" w:w="1020"/>
            <w:shd w:val="clear" w:color="auto" w:fill="1F2433"/>
          </w:tcPr>
          <w:p>
            <w:pPr>
              <w:spacing w:after="0"/>
              <w:jc w:val="center"/>
            </w:pPr>
            <w:r>
              <w:rPr>
                <w:b/>
                <w:color w:val="FFFFFF"/>
              </w:rPr>
            </w:r>
            <w:r>
              <w:rPr>
                <w:b/>
                <w:color w:val="FFFFFF"/>
                <w:sz w:val="17"/>
              </w:rPr>
              <w:t>R²oos CTRL</w:t>
            </w:r>
          </w:p>
        </w:tc>
        <w:tc>
          <w:tcPr>
            <w:tcW w:type="dxa" w:w="1020"/>
            <w:shd w:val="clear" w:color="auto" w:fill="1F2433"/>
          </w:tcPr>
          <w:p>
            <w:pPr>
              <w:spacing w:after="0"/>
              <w:jc w:val="center"/>
            </w:pPr>
            <w:r>
              <w:rPr>
                <w:b/>
                <w:color w:val="FFFFFF"/>
              </w:rPr>
            </w:r>
            <w:r>
              <w:rPr>
                <w:b/>
                <w:color w:val="FFFFFF"/>
                <w:sz w:val="17"/>
              </w:rPr>
              <w:t>R²oos FULL</w:t>
            </w:r>
          </w:p>
        </w:tc>
        <w:tc>
          <w:tcPr>
            <w:tcW w:type="dxa" w:w="794"/>
            <w:shd w:val="clear" w:color="auto" w:fill="1F2433"/>
          </w:tcPr>
          <w:p>
            <w:pPr>
              <w:spacing w:after="0"/>
              <w:jc w:val="center"/>
            </w:pPr>
            <w:r>
              <w:rPr>
                <w:b/>
                <w:color w:val="FFFFFF"/>
              </w:rPr>
            </w:r>
            <w:r>
              <w:rPr>
                <w:b/>
                <w:color w:val="FFFFFF"/>
                <w:sz w:val="17"/>
              </w:rPr>
              <w:t>Δ</w:t>
            </w:r>
          </w:p>
        </w:tc>
        <w:tc>
          <w:tcPr>
            <w:tcW w:type="dxa" w:w="850"/>
            <w:shd w:val="clear" w:color="auto" w:fill="1F2433"/>
          </w:tcPr>
          <w:p>
            <w:pPr>
              <w:spacing w:after="0"/>
              <w:jc w:val="center"/>
            </w:pPr>
            <w:r>
              <w:rPr>
                <w:b/>
                <w:color w:val="FFFFFF"/>
              </w:rPr>
            </w:r>
            <w:r>
              <w:rPr>
                <w:b/>
                <w:color w:val="FFFFFF"/>
                <w:sz w:val="17"/>
              </w:rPr>
              <w:t>FULL wins</w:t>
            </w:r>
          </w:p>
        </w:tc>
        <w:tc>
          <w:tcPr>
            <w:tcW w:type="dxa" w:w="1077"/>
            <w:shd w:val="clear" w:color="auto" w:fill="1F2433"/>
          </w:tcPr>
          <w:p>
            <w:pPr>
              <w:spacing w:after="0"/>
              <w:jc w:val="center"/>
            </w:pPr>
            <w:r>
              <w:rPr>
                <w:b/>
                <w:color w:val="FFFFFF"/>
              </w:rPr>
            </w:r>
            <w:r>
              <w:rPr>
                <w:b/>
                <w:color w:val="FFFFFF"/>
                <w:sz w:val="17"/>
              </w:rPr>
              <w:t>RMSE CTRL</w:t>
            </w:r>
          </w:p>
        </w:tc>
        <w:tc>
          <w:tcPr>
            <w:tcW w:type="dxa" w:w="1077"/>
            <w:shd w:val="clear" w:color="auto" w:fill="1F2433"/>
          </w:tcPr>
          <w:p>
            <w:pPr>
              <w:spacing w:after="0"/>
              <w:jc w:val="center"/>
            </w:pPr>
            <w:r>
              <w:rPr>
                <w:b/>
                <w:color w:val="FFFFFF"/>
              </w:rPr>
            </w:r>
            <w:r>
              <w:rPr>
                <w:b/>
                <w:color w:val="FFFFFF"/>
                <w:sz w:val="17"/>
              </w:rPr>
              <w:t>RMSE FULL</w:t>
            </w:r>
          </w:p>
        </w:tc>
        <w:tc>
          <w:tcPr>
            <w:tcW w:type="dxa" w:w="907"/>
            <w:shd w:val="clear" w:color="auto" w:fill="1F2433"/>
          </w:tcPr>
          <w:p>
            <w:pPr>
              <w:spacing w:after="0"/>
              <w:jc w:val="center"/>
            </w:pPr>
            <w:r>
              <w:rPr>
                <w:b/>
                <w:color w:val="FFFFFF"/>
              </w:rPr>
            </w:r>
            <w:r>
              <w:rPr>
                <w:b/>
                <w:color w:val="FFFFFF"/>
                <w:sz w:val="17"/>
              </w:rPr>
              <w:t>ρ CTRL</w:t>
            </w:r>
          </w:p>
        </w:tc>
        <w:tc>
          <w:tcPr>
            <w:tcW w:type="dxa" w:w="907"/>
            <w:shd w:val="clear" w:color="auto" w:fill="1F2433"/>
          </w:tcPr>
          <w:p>
            <w:pPr>
              <w:spacing w:after="0"/>
              <w:jc w:val="center"/>
            </w:pPr>
            <w:r>
              <w:rPr>
                <w:b/>
                <w:color w:val="FFFFFF"/>
              </w:rPr>
            </w:r>
            <w:r>
              <w:rPr>
                <w:b/>
                <w:color w:val="FFFFFF"/>
                <w:sz w:val="17"/>
              </w:rPr>
              <w:t>ρ FULL</w:t>
            </w:r>
          </w:p>
        </w:tc>
      </w:tr>
      <w:tr>
        <w:tc>
          <w:tcPr>
            <w:tcW w:type="dxa" w:w="1587"/>
          </w:tcPr>
          <w:p>
            <w:pPr>
              <w:spacing w:after="0"/>
              <w:jc w:val="left"/>
            </w:pPr>
            <w:r/>
            <w:r>
              <w:rPr>
                <w:sz w:val="17"/>
              </w:rPr>
              <w:t>KNN</w:t>
            </w:r>
          </w:p>
        </w:tc>
        <w:tc>
          <w:tcPr>
            <w:tcW w:type="dxa" w:w="1020"/>
          </w:tcPr>
          <w:p>
            <w:pPr>
              <w:spacing w:after="0"/>
              <w:jc w:val="center"/>
            </w:pPr>
            <w:r/>
            <w:r>
              <w:rPr>
                <w:sz w:val="17"/>
              </w:rPr>
              <w:t>0.234</w:t>
            </w:r>
          </w:p>
        </w:tc>
        <w:tc>
          <w:tcPr>
            <w:tcW w:type="dxa" w:w="1020"/>
          </w:tcPr>
          <w:p>
            <w:pPr>
              <w:spacing w:after="0"/>
              <w:jc w:val="center"/>
            </w:pPr>
            <w:r/>
            <w:r>
              <w:rPr>
                <w:sz w:val="17"/>
              </w:rPr>
              <w:t>0.235</w:t>
            </w:r>
          </w:p>
        </w:tc>
        <w:tc>
          <w:tcPr>
            <w:tcW w:type="dxa" w:w="794"/>
          </w:tcPr>
          <w:p>
            <w:pPr>
              <w:spacing w:after="0"/>
              <w:jc w:val="center"/>
            </w:pPr>
            <w:r/>
            <w:r>
              <w:rPr>
                <w:sz w:val="17"/>
              </w:rPr>
              <w:t>+0.001</w:t>
            </w:r>
          </w:p>
        </w:tc>
        <w:tc>
          <w:tcPr>
            <w:tcW w:type="dxa" w:w="850"/>
          </w:tcPr>
          <w:p>
            <w:pPr>
              <w:spacing w:after="0"/>
              <w:jc w:val="center"/>
            </w:pPr>
            <w:r/>
            <w:r>
              <w:rPr>
                <w:sz w:val="17"/>
              </w:rPr>
              <w:t>2/5</w:t>
            </w:r>
          </w:p>
        </w:tc>
        <w:tc>
          <w:tcPr>
            <w:tcW w:type="dxa" w:w="1077"/>
          </w:tcPr>
          <w:p>
            <w:pPr>
              <w:spacing w:after="0"/>
              <w:jc w:val="center"/>
            </w:pPr>
            <w:r/>
            <w:r>
              <w:rPr>
                <w:sz w:val="17"/>
              </w:rPr>
              <w:t>0.4526</w:t>
            </w:r>
          </w:p>
        </w:tc>
        <w:tc>
          <w:tcPr>
            <w:tcW w:type="dxa" w:w="1077"/>
          </w:tcPr>
          <w:p>
            <w:pPr>
              <w:spacing w:after="0"/>
              <w:jc w:val="center"/>
            </w:pPr>
            <w:r/>
            <w:r>
              <w:rPr>
                <w:sz w:val="17"/>
              </w:rPr>
              <w:t>0.4538</w:t>
            </w:r>
          </w:p>
        </w:tc>
        <w:tc>
          <w:tcPr>
            <w:tcW w:type="dxa" w:w="907"/>
          </w:tcPr>
          <w:p>
            <w:pPr>
              <w:spacing w:after="0"/>
              <w:jc w:val="center"/>
            </w:pPr>
            <w:r/>
            <w:r>
              <w:rPr>
                <w:sz w:val="17"/>
              </w:rPr>
              <w:t>0.261</w:t>
            </w:r>
          </w:p>
        </w:tc>
        <w:tc>
          <w:tcPr>
            <w:tcW w:type="dxa" w:w="907"/>
          </w:tcPr>
          <w:p>
            <w:pPr>
              <w:spacing w:after="0"/>
              <w:jc w:val="center"/>
            </w:pPr>
            <w:r/>
            <w:r>
              <w:rPr>
                <w:sz w:val="17"/>
              </w:rPr>
              <w:t>0.274</w:t>
            </w:r>
          </w:p>
        </w:tc>
      </w:tr>
      <w:tr>
        <w:tc>
          <w:tcPr>
            <w:tcW w:type="dxa" w:w="1587"/>
            <w:shd w:val="clear" w:color="auto" w:fill="F1F3F6"/>
          </w:tcPr>
          <w:p>
            <w:pPr>
              <w:spacing w:after="0"/>
              <w:jc w:val="left"/>
            </w:pPr>
            <w:r/>
            <w:r>
              <w:rPr>
                <w:sz w:val="17"/>
              </w:rPr>
              <w:t>Random Forest</w:t>
            </w:r>
          </w:p>
        </w:tc>
        <w:tc>
          <w:tcPr>
            <w:tcW w:type="dxa" w:w="1020"/>
            <w:shd w:val="clear" w:color="auto" w:fill="F1F3F6"/>
          </w:tcPr>
          <w:p>
            <w:pPr>
              <w:spacing w:after="0"/>
              <w:jc w:val="center"/>
            </w:pPr>
            <w:r/>
            <w:r>
              <w:rPr>
                <w:sz w:val="17"/>
              </w:rPr>
              <w:t>0.262</w:t>
            </w:r>
          </w:p>
        </w:tc>
        <w:tc>
          <w:tcPr>
            <w:tcW w:type="dxa" w:w="1020"/>
            <w:shd w:val="clear" w:color="auto" w:fill="F1F3F6"/>
          </w:tcPr>
          <w:p>
            <w:pPr>
              <w:spacing w:after="0"/>
              <w:jc w:val="center"/>
            </w:pPr>
            <w:r/>
            <w:r>
              <w:rPr>
                <w:sz w:val="17"/>
              </w:rPr>
              <w:t>0.268</w:t>
            </w:r>
          </w:p>
        </w:tc>
        <w:tc>
          <w:tcPr>
            <w:tcW w:type="dxa" w:w="794"/>
            <w:shd w:val="clear" w:color="auto" w:fill="F1F3F6"/>
          </w:tcPr>
          <w:p>
            <w:pPr>
              <w:spacing w:after="0"/>
              <w:jc w:val="center"/>
            </w:pPr>
            <w:r/>
            <w:r>
              <w:rPr>
                <w:sz w:val="17"/>
              </w:rPr>
              <w:t>+0.006</w:t>
            </w:r>
          </w:p>
        </w:tc>
        <w:tc>
          <w:tcPr>
            <w:tcW w:type="dxa" w:w="850"/>
            <w:shd w:val="clear" w:color="auto" w:fill="F1F3F6"/>
          </w:tcPr>
          <w:p>
            <w:pPr>
              <w:spacing w:after="0"/>
              <w:jc w:val="center"/>
            </w:pPr>
            <w:r/>
            <w:r>
              <w:rPr>
                <w:sz w:val="17"/>
              </w:rPr>
              <w:t>2/5</w:t>
            </w:r>
          </w:p>
        </w:tc>
        <w:tc>
          <w:tcPr>
            <w:tcW w:type="dxa" w:w="1077"/>
            <w:shd w:val="clear" w:color="auto" w:fill="F1F3F6"/>
          </w:tcPr>
          <w:p>
            <w:pPr>
              <w:spacing w:after="0"/>
              <w:jc w:val="center"/>
            </w:pPr>
            <w:r/>
            <w:r>
              <w:rPr>
                <w:sz w:val="17"/>
              </w:rPr>
              <w:t>0.4451</w:t>
            </w:r>
          </w:p>
        </w:tc>
        <w:tc>
          <w:tcPr>
            <w:tcW w:type="dxa" w:w="1077"/>
            <w:shd w:val="clear" w:color="auto" w:fill="F1F3F6"/>
          </w:tcPr>
          <w:p>
            <w:pPr>
              <w:spacing w:after="0"/>
              <w:jc w:val="center"/>
            </w:pPr>
            <w:r/>
            <w:r>
              <w:rPr>
                <w:sz w:val="17"/>
              </w:rPr>
              <w:t>0.4431</w:t>
            </w:r>
          </w:p>
        </w:tc>
        <w:tc>
          <w:tcPr>
            <w:tcW w:type="dxa" w:w="907"/>
            <w:shd w:val="clear" w:color="auto" w:fill="F1F3F6"/>
          </w:tcPr>
          <w:p>
            <w:pPr>
              <w:spacing w:after="0"/>
              <w:jc w:val="center"/>
            </w:pPr>
            <w:r/>
            <w:r>
              <w:rPr>
                <w:sz w:val="17"/>
              </w:rPr>
              <w:t>0.305</w:t>
            </w:r>
          </w:p>
        </w:tc>
        <w:tc>
          <w:tcPr>
            <w:tcW w:type="dxa" w:w="907"/>
            <w:shd w:val="clear" w:color="auto" w:fill="F1F3F6"/>
          </w:tcPr>
          <w:p>
            <w:pPr>
              <w:spacing w:after="0"/>
              <w:jc w:val="center"/>
            </w:pPr>
            <w:r/>
            <w:r>
              <w:rPr>
                <w:sz w:val="17"/>
              </w:rPr>
              <w:t>0.326</w:t>
            </w:r>
          </w:p>
        </w:tc>
      </w:tr>
      <w:tr>
        <w:tc>
          <w:tcPr>
            <w:tcW w:type="dxa" w:w="1587"/>
          </w:tcPr>
          <w:p>
            <w:pPr>
              <w:spacing w:after="0"/>
              <w:jc w:val="left"/>
            </w:pPr>
            <w:r/>
            <w:r>
              <w:rPr>
                <w:sz w:val="17"/>
              </w:rPr>
              <w:t>Ridge</w:t>
            </w:r>
          </w:p>
        </w:tc>
        <w:tc>
          <w:tcPr>
            <w:tcW w:type="dxa" w:w="1020"/>
          </w:tcPr>
          <w:p>
            <w:pPr>
              <w:spacing w:after="0"/>
              <w:jc w:val="center"/>
            </w:pPr>
            <w:r/>
            <w:r>
              <w:rPr>
                <w:sz w:val="17"/>
              </w:rPr>
              <w:t>0.266</w:t>
            </w:r>
          </w:p>
        </w:tc>
        <w:tc>
          <w:tcPr>
            <w:tcW w:type="dxa" w:w="1020"/>
          </w:tcPr>
          <w:p>
            <w:pPr>
              <w:spacing w:after="0"/>
              <w:jc w:val="center"/>
            </w:pPr>
            <w:r/>
            <w:r>
              <w:rPr>
                <w:sz w:val="17"/>
              </w:rPr>
              <w:t>0.266</w:t>
            </w:r>
          </w:p>
        </w:tc>
        <w:tc>
          <w:tcPr>
            <w:tcW w:type="dxa" w:w="794"/>
          </w:tcPr>
          <w:p>
            <w:pPr>
              <w:spacing w:after="0"/>
              <w:jc w:val="center"/>
            </w:pPr>
            <w:r/>
            <w:r>
              <w:rPr>
                <w:sz w:val="17"/>
              </w:rPr>
              <w:t>+0.001</w:t>
            </w:r>
          </w:p>
        </w:tc>
        <w:tc>
          <w:tcPr>
            <w:tcW w:type="dxa" w:w="850"/>
          </w:tcPr>
          <w:p>
            <w:pPr>
              <w:spacing w:after="0"/>
              <w:jc w:val="center"/>
            </w:pPr>
            <w:r/>
            <w:r>
              <w:rPr>
                <w:sz w:val="17"/>
              </w:rPr>
              <w:t>3/5</w:t>
            </w:r>
          </w:p>
        </w:tc>
        <w:tc>
          <w:tcPr>
            <w:tcW w:type="dxa" w:w="1077"/>
          </w:tcPr>
          <w:p>
            <w:pPr>
              <w:spacing w:after="0"/>
              <w:jc w:val="center"/>
            </w:pPr>
            <w:r/>
            <w:r>
              <w:rPr>
                <w:sz w:val="17"/>
              </w:rPr>
              <w:t>0.4428</w:t>
            </w:r>
          </w:p>
        </w:tc>
        <w:tc>
          <w:tcPr>
            <w:tcW w:type="dxa" w:w="1077"/>
          </w:tcPr>
          <w:p>
            <w:pPr>
              <w:spacing w:after="0"/>
              <w:jc w:val="center"/>
            </w:pPr>
            <w:r/>
            <w:r>
              <w:rPr>
                <w:sz w:val="17"/>
              </w:rPr>
              <w:t>0.4428</w:t>
            </w:r>
          </w:p>
        </w:tc>
        <w:tc>
          <w:tcPr>
            <w:tcW w:type="dxa" w:w="907"/>
          </w:tcPr>
          <w:p>
            <w:pPr>
              <w:spacing w:after="0"/>
              <w:jc w:val="center"/>
            </w:pPr>
            <w:r/>
            <w:r>
              <w:rPr>
                <w:sz w:val="17"/>
              </w:rPr>
              <w:t>0.343</w:t>
            </w:r>
          </w:p>
        </w:tc>
        <w:tc>
          <w:tcPr>
            <w:tcW w:type="dxa" w:w="907"/>
          </w:tcPr>
          <w:p>
            <w:pPr>
              <w:spacing w:after="0"/>
              <w:jc w:val="center"/>
            </w:pPr>
            <w:r/>
            <w:r>
              <w:rPr>
                <w:sz w:val="17"/>
              </w:rPr>
              <w:t>0.335</w:t>
            </w:r>
          </w:p>
        </w:tc>
      </w:tr>
      <w:tr>
        <w:tc>
          <w:tcPr>
            <w:tcW w:type="dxa" w:w="1587"/>
            <w:shd w:val="clear" w:color="auto" w:fill="F1F3F6"/>
          </w:tcPr>
          <w:p>
            <w:pPr>
              <w:spacing w:after="0"/>
              <w:jc w:val="left"/>
            </w:pPr>
            <w:r/>
            <w:r>
              <w:rPr>
                <w:sz w:val="17"/>
              </w:rPr>
              <w:t>Elastic Net</w:t>
            </w:r>
          </w:p>
        </w:tc>
        <w:tc>
          <w:tcPr>
            <w:tcW w:type="dxa" w:w="1020"/>
            <w:shd w:val="clear" w:color="auto" w:fill="F1F3F6"/>
          </w:tcPr>
          <w:p>
            <w:pPr>
              <w:spacing w:after="0"/>
              <w:jc w:val="center"/>
            </w:pPr>
            <w:r/>
            <w:r>
              <w:rPr>
                <w:sz w:val="17"/>
              </w:rPr>
              <w:t>0.254</w:t>
            </w:r>
          </w:p>
        </w:tc>
        <w:tc>
          <w:tcPr>
            <w:tcW w:type="dxa" w:w="1020"/>
            <w:shd w:val="clear" w:color="auto" w:fill="F1F3F6"/>
          </w:tcPr>
          <w:p>
            <w:pPr>
              <w:spacing w:after="0"/>
              <w:jc w:val="center"/>
            </w:pPr>
            <w:r/>
            <w:r>
              <w:rPr>
                <w:sz w:val="17"/>
              </w:rPr>
              <w:t>0.255</w:t>
            </w:r>
          </w:p>
        </w:tc>
        <w:tc>
          <w:tcPr>
            <w:tcW w:type="dxa" w:w="794"/>
            <w:shd w:val="clear" w:color="auto" w:fill="F1F3F6"/>
          </w:tcPr>
          <w:p>
            <w:pPr>
              <w:spacing w:after="0"/>
              <w:jc w:val="center"/>
            </w:pPr>
            <w:r/>
            <w:r>
              <w:rPr>
                <w:sz w:val="17"/>
              </w:rPr>
              <w:t>+0.001</w:t>
            </w:r>
          </w:p>
        </w:tc>
        <w:tc>
          <w:tcPr>
            <w:tcW w:type="dxa" w:w="850"/>
            <w:shd w:val="clear" w:color="auto" w:fill="F1F3F6"/>
          </w:tcPr>
          <w:p>
            <w:pPr>
              <w:spacing w:after="0"/>
              <w:jc w:val="center"/>
            </w:pPr>
            <w:r/>
            <w:r>
              <w:rPr>
                <w:sz w:val="17"/>
              </w:rPr>
              <w:t>3/5</w:t>
            </w:r>
          </w:p>
        </w:tc>
        <w:tc>
          <w:tcPr>
            <w:tcW w:type="dxa" w:w="1077"/>
            <w:shd w:val="clear" w:color="auto" w:fill="F1F3F6"/>
          </w:tcPr>
          <w:p>
            <w:pPr>
              <w:spacing w:after="0"/>
              <w:jc w:val="center"/>
            </w:pPr>
            <w:r/>
            <w:r>
              <w:rPr>
                <w:sz w:val="17"/>
              </w:rPr>
              <w:t>0.4471</w:t>
            </w:r>
          </w:p>
        </w:tc>
        <w:tc>
          <w:tcPr>
            <w:tcW w:type="dxa" w:w="1077"/>
            <w:shd w:val="clear" w:color="auto" w:fill="F1F3F6"/>
          </w:tcPr>
          <w:p>
            <w:pPr>
              <w:spacing w:after="0"/>
              <w:jc w:val="center"/>
            </w:pPr>
            <w:r/>
            <w:r>
              <w:rPr>
                <w:sz w:val="17"/>
              </w:rPr>
              <w:t>0.4468</w:t>
            </w:r>
          </w:p>
        </w:tc>
        <w:tc>
          <w:tcPr>
            <w:tcW w:type="dxa" w:w="907"/>
            <w:shd w:val="clear" w:color="auto" w:fill="F1F3F6"/>
          </w:tcPr>
          <w:p>
            <w:pPr>
              <w:spacing w:after="0"/>
              <w:jc w:val="center"/>
            </w:pPr>
            <w:r/>
            <w:r>
              <w:rPr>
                <w:sz w:val="17"/>
              </w:rPr>
              <w:t>0.317</w:t>
            </w:r>
          </w:p>
        </w:tc>
        <w:tc>
          <w:tcPr>
            <w:tcW w:type="dxa" w:w="907"/>
            <w:shd w:val="clear" w:color="auto" w:fill="F1F3F6"/>
          </w:tcPr>
          <w:p>
            <w:pPr>
              <w:spacing w:after="0"/>
              <w:jc w:val="center"/>
            </w:pPr>
            <w:r/>
            <w:r>
              <w:rPr>
                <w:sz w:val="17"/>
              </w:rPr>
              <w:t>0.321</w:t>
            </w:r>
          </w:p>
        </w:tc>
      </w:tr>
      <w:tr>
        <w:tc>
          <w:tcPr>
            <w:tcW w:type="dxa" w:w="1587"/>
          </w:tcPr>
          <w:p>
            <w:pPr>
              <w:spacing w:after="0"/>
              <w:jc w:val="left"/>
            </w:pPr>
            <w:r/>
            <w:r>
              <w:rPr>
                <w:sz w:val="17"/>
              </w:rPr>
              <w:t>Train mean</w:t>
            </w:r>
          </w:p>
        </w:tc>
        <w:tc>
          <w:tcPr>
            <w:tcW w:type="dxa" w:w="1020"/>
          </w:tcPr>
          <w:p>
            <w:pPr>
              <w:spacing w:after="0"/>
              <w:jc w:val="center"/>
            </w:pPr>
            <w:r/>
            <w:r>
              <w:rPr>
                <w:sz w:val="17"/>
              </w:rPr>
              <w:t>0.170</w:t>
            </w:r>
          </w:p>
        </w:tc>
        <w:tc>
          <w:tcPr>
            <w:tcW w:type="dxa" w:w="1020"/>
          </w:tcPr>
          <w:p>
            <w:pPr>
              <w:spacing w:after="0"/>
              <w:jc w:val="center"/>
            </w:pPr>
            <w:r/>
            <w:r>
              <w:rPr>
                <w:sz w:val="17"/>
              </w:rPr>
              <w:t>–</w:t>
            </w:r>
          </w:p>
        </w:tc>
        <w:tc>
          <w:tcPr>
            <w:tcW w:type="dxa" w:w="794"/>
          </w:tcPr>
          <w:p>
            <w:pPr>
              <w:spacing w:after="0"/>
              <w:jc w:val="center"/>
            </w:pPr>
            <w:r/>
            <w:r>
              <w:rPr>
                <w:sz w:val="17"/>
              </w:rPr>
              <w:t>–</w:t>
            </w:r>
          </w:p>
        </w:tc>
        <w:tc>
          <w:tcPr>
            <w:tcW w:type="dxa" w:w="850"/>
          </w:tcPr>
          <w:p>
            <w:pPr>
              <w:spacing w:after="0"/>
              <w:jc w:val="center"/>
            </w:pPr>
            <w:r/>
            <w:r>
              <w:rPr>
                <w:sz w:val="17"/>
              </w:rPr>
              <w:t>–</w:t>
            </w:r>
          </w:p>
        </w:tc>
        <w:tc>
          <w:tcPr>
            <w:tcW w:type="dxa" w:w="1077"/>
          </w:tcPr>
          <w:p>
            <w:pPr>
              <w:spacing w:after="0"/>
              <w:jc w:val="center"/>
            </w:pPr>
            <w:r/>
            <w:r>
              <w:rPr>
                <w:sz w:val="17"/>
              </w:rPr>
              <w:t>0.4713</w:t>
            </w:r>
          </w:p>
        </w:tc>
        <w:tc>
          <w:tcPr>
            <w:tcW w:type="dxa" w:w="1077"/>
          </w:tcPr>
          <w:p>
            <w:pPr>
              <w:spacing w:after="0"/>
              <w:jc w:val="center"/>
            </w:pPr>
            <w:r/>
            <w:r>
              <w:rPr>
                <w:sz w:val="17"/>
              </w:rPr>
              <w:t>–</w:t>
            </w:r>
          </w:p>
        </w:tc>
        <w:tc>
          <w:tcPr>
            <w:tcW w:type="dxa" w:w="907"/>
          </w:tcPr>
          <w:p>
            <w:pPr>
              <w:spacing w:after="0"/>
              <w:jc w:val="center"/>
            </w:pPr>
            <w:r/>
            <w:r>
              <w:rPr>
                <w:sz w:val="17"/>
              </w:rPr>
              <w:t>–</w:t>
            </w:r>
          </w:p>
        </w:tc>
        <w:tc>
          <w:tcPr>
            <w:tcW w:type="dxa" w:w="907"/>
          </w:tcPr>
          <w:p>
            <w:pPr>
              <w:spacing w:after="0"/>
              <w:jc w:val="center"/>
            </w:pPr>
            <w:r/>
            <w:r>
              <w:rPr>
                <w:sz w:val="17"/>
              </w:rPr>
              <w:t>–</w:t>
            </w:r>
          </w:p>
        </w:tc>
      </w:tr>
      <w:tr>
        <w:tc>
          <w:tcPr>
            <w:tcW w:type="dxa" w:w="1587"/>
            <w:shd w:val="clear" w:color="auto" w:fill="F1F3F6"/>
          </w:tcPr>
          <w:p>
            <w:pPr>
              <w:spacing w:after="0"/>
              <w:jc w:val="left"/>
            </w:pPr>
            <w:r/>
            <w:r>
              <w:rPr>
                <w:sz w:val="17"/>
              </w:rPr>
              <w:t>Persistence</w:t>
            </w:r>
          </w:p>
        </w:tc>
        <w:tc>
          <w:tcPr>
            <w:tcW w:type="dxa" w:w="1020"/>
            <w:shd w:val="clear" w:color="auto" w:fill="F1F3F6"/>
          </w:tcPr>
          <w:p>
            <w:pPr>
              <w:spacing w:after="0"/>
              <w:jc w:val="center"/>
            </w:pPr>
            <w:r/>
            <w:r>
              <w:rPr>
                <w:sz w:val="17"/>
              </w:rPr>
              <w:t>0.000</w:t>
            </w:r>
          </w:p>
        </w:tc>
        <w:tc>
          <w:tcPr>
            <w:tcW w:type="dxa" w:w="1020"/>
            <w:shd w:val="clear" w:color="auto" w:fill="F1F3F6"/>
          </w:tcPr>
          <w:p>
            <w:pPr>
              <w:spacing w:after="0"/>
              <w:jc w:val="center"/>
            </w:pPr>
            <w:r/>
            <w:r>
              <w:rPr>
                <w:sz w:val="17"/>
              </w:rPr>
              <w:t>–</w:t>
            </w:r>
          </w:p>
        </w:tc>
        <w:tc>
          <w:tcPr>
            <w:tcW w:type="dxa" w:w="794"/>
            <w:shd w:val="clear" w:color="auto" w:fill="F1F3F6"/>
          </w:tcPr>
          <w:p>
            <w:pPr>
              <w:spacing w:after="0"/>
              <w:jc w:val="center"/>
            </w:pPr>
            <w:r/>
            <w:r>
              <w:rPr>
                <w:sz w:val="17"/>
              </w:rPr>
              <w:t>–</w:t>
            </w:r>
          </w:p>
        </w:tc>
        <w:tc>
          <w:tcPr>
            <w:tcW w:type="dxa" w:w="850"/>
            <w:shd w:val="clear" w:color="auto" w:fill="F1F3F6"/>
          </w:tcPr>
          <w:p>
            <w:pPr>
              <w:spacing w:after="0"/>
              <w:jc w:val="center"/>
            </w:pPr>
            <w:r/>
            <w:r>
              <w:rPr>
                <w:sz w:val="17"/>
              </w:rPr>
              <w:t>–</w:t>
            </w:r>
          </w:p>
        </w:tc>
        <w:tc>
          <w:tcPr>
            <w:tcW w:type="dxa" w:w="1077"/>
            <w:shd w:val="clear" w:color="auto" w:fill="F1F3F6"/>
          </w:tcPr>
          <w:p>
            <w:pPr>
              <w:spacing w:after="0"/>
              <w:jc w:val="center"/>
            </w:pPr>
            <w:r/>
            <w:r>
              <w:rPr>
                <w:sz w:val="17"/>
              </w:rPr>
              <w:t>0.5269</w:t>
            </w:r>
          </w:p>
        </w:tc>
        <w:tc>
          <w:tcPr>
            <w:tcW w:type="dxa" w:w="1077"/>
            <w:shd w:val="clear" w:color="auto" w:fill="F1F3F6"/>
          </w:tcPr>
          <w:p>
            <w:pPr>
              <w:spacing w:after="0"/>
              <w:jc w:val="center"/>
            </w:pPr>
            <w:r/>
            <w:r>
              <w:rPr>
                <w:sz w:val="17"/>
              </w:rPr>
              <w:t>–</w:t>
            </w:r>
          </w:p>
        </w:tc>
        <w:tc>
          <w:tcPr>
            <w:tcW w:type="dxa" w:w="907"/>
            <w:shd w:val="clear" w:color="auto" w:fill="F1F3F6"/>
          </w:tcPr>
          <w:p>
            <w:pPr>
              <w:spacing w:after="0"/>
              <w:jc w:val="center"/>
            </w:pPr>
            <w:r/>
            <w:r>
              <w:rPr>
                <w:sz w:val="17"/>
              </w:rPr>
              <w:t>–</w:t>
            </w:r>
          </w:p>
        </w:tc>
        <w:tc>
          <w:tcPr>
            <w:tcW w:type="dxa" w:w="907"/>
            <w:shd w:val="clear" w:color="auto" w:fill="F1F3F6"/>
          </w:tcPr>
          <w:p>
            <w:pPr>
              <w:spacing w:after="0"/>
              <w:jc w:val="center"/>
            </w:pPr>
            <w:r/>
            <w:r>
              <w:rPr>
                <w:sz w:val="17"/>
              </w:rPr>
              <w:t>–</w:t>
            </w:r>
          </w:p>
        </w:tc>
      </w:tr>
    </w:tbl>
    <w:p>
      <w:pPr>
        <w:spacing w:after="40"/>
      </w:pPr>
    </w:p>
    <w:p>
      <w:pPr>
        <w:jc w:val="both"/>
      </w:pPr>
      <w:r>
        <w:t xml:space="preserve">Table 3 and Figure 2 give the main result. </w:t>
      </w:r>
      <w:r>
        <w:rPr>
          <w:b/>
        </w:rPr>
        <w:t>All four regressors beat both benchmarks</w:t>
      </w:r>
      <w:r>
        <w:t xml:space="preserve">: R²_oos against persistence is 0.23 to 0.27 on controls alone, against 0.17 for the training mean, and RMSE falls from 0.527 (persistence) to about 0.443. Linear models are as good as the non-linear ones: Ridge on controls (0.266) ties the Random Forest on the full feature set (0.268). </w:t>
      </w:r>
      <w:r>
        <w:rPr>
          <w:b/>
        </w:rPr>
        <w:t>Adding the 23 unlock and static features barely moves any model</w:t>
      </w:r>
      <w:r>
        <w:t>: the mean Δ is between +0.001 and +0.006, while the standard deviation of R²_oos across folds is 0.14 to 0.17. FULL beats CONTROLS in only two or three folds out of five for every model. For KNN the R²_oos rises slightly while the mean RMSE gets worse, a reminder that these differences are within noise.</w:t>
      </w:r>
    </w:p>
    <w:p>
      <w:pPr>
        <w:keepNext/>
        <w:spacing w:after="0"/>
        <w:jc w:val="center"/>
      </w:pPr>
      <w:r>
        <w:drawing>
          <wp:inline xmlns:a="http://schemas.openxmlformats.org/drawingml/2006/main" xmlns:pic="http://schemas.openxmlformats.org/drawingml/2006/picture">
            <wp:extent cx="5940000" cy="2397957"/>
            <wp:docPr id="2" name="Picture 2"/>
            <wp:cNvGraphicFramePr>
              <a:graphicFrameLocks noChangeAspect="1"/>
            </wp:cNvGraphicFramePr>
            <a:graphic>
              <a:graphicData uri="http://schemas.openxmlformats.org/drawingml/2006/picture">
                <pic:pic>
                  <pic:nvPicPr>
                    <pic:cNvPr id="0" name="compare_r2_oos.png"/>
                    <pic:cNvPicPr/>
                  </pic:nvPicPr>
                  <pic:blipFill>
                    <a:blip r:embed="rId11"/>
                    <a:stretch>
                      <a:fillRect/>
                    </a:stretch>
                  </pic:blipFill>
                  <pic:spPr>
                    <a:xfrm>
                      <a:off x="0" y="0"/>
                      <a:ext cx="5940000" cy="2397957"/>
                    </a:xfrm>
                    <a:prstGeom prst="rect"/>
                  </pic:spPr>
                </pic:pic>
              </a:graphicData>
            </a:graphic>
          </wp:inline>
        </w:drawing>
      </w:r>
    </w:p>
    <w:p>
      <w:pPr>
        <w:spacing w:after="120"/>
        <w:jc w:val="center"/>
      </w:pPr>
      <w:r>
        <w:rPr>
          <w:color w:val="5A6070"/>
          <w:sz w:val="18"/>
        </w:rPr>
        <w:t>Figure 2. Out-of-sample R² against persistence, controls only (blue) vs FULL (orange); bars = ±1 s.d. across folds; dotted line = training-mean baseline.</w:t>
      </w:r>
    </w:p>
    <w:p>
      <w:pPr>
        <w:pStyle w:val="Heading2"/>
      </w:pPr>
      <w:r>
        <w:t>5.2  Stability across folds</w:t>
      </w:r>
    </w:p>
    <w:p>
      <w:pPr>
        <w:keepNext/>
        <w:spacing w:after="40"/>
        <w:jc w:val="both"/>
      </w:pPr>
      <w:r>
        <w:rPr>
          <w:b/>
          <w:color w:val="5A6070"/>
          <w:sz w:val="18"/>
        </w:rPr>
        <w:t>Table 4. Per-fold ΔR²oos (FULL − CONTROLS), daily panel. Folds are in calendar order.</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701"/>
            <w:shd w:val="clear" w:color="auto" w:fill="1F2433"/>
          </w:tcPr>
          <w:p>
            <w:pPr>
              <w:spacing w:after="0"/>
              <w:jc w:val="left"/>
            </w:pPr>
            <w:r>
              <w:rPr>
                <w:b/>
                <w:color w:val="FFFFFF"/>
              </w:rPr>
            </w:r>
            <w:r>
              <w:rPr>
                <w:b/>
                <w:color w:val="FFFFFF"/>
                <w:sz w:val="17"/>
              </w:rPr>
              <w:t>Model</w:t>
            </w:r>
          </w:p>
        </w:tc>
        <w:tc>
          <w:tcPr>
            <w:tcW w:type="dxa" w:w="1020"/>
            <w:shd w:val="clear" w:color="auto" w:fill="1F2433"/>
          </w:tcPr>
          <w:p>
            <w:pPr>
              <w:spacing w:after="0"/>
              <w:jc w:val="center"/>
            </w:pPr>
            <w:r>
              <w:rPr>
                <w:b/>
                <w:color w:val="FFFFFF"/>
              </w:rPr>
            </w:r>
            <w:r>
              <w:rPr>
                <w:b/>
                <w:color w:val="FFFFFF"/>
                <w:sz w:val="17"/>
              </w:rPr>
              <w:t>Fold 1</w:t>
            </w:r>
          </w:p>
        </w:tc>
        <w:tc>
          <w:tcPr>
            <w:tcW w:type="dxa" w:w="1020"/>
            <w:shd w:val="clear" w:color="auto" w:fill="1F2433"/>
          </w:tcPr>
          <w:p>
            <w:pPr>
              <w:spacing w:after="0"/>
              <w:jc w:val="center"/>
            </w:pPr>
            <w:r>
              <w:rPr>
                <w:b/>
                <w:color w:val="FFFFFF"/>
              </w:rPr>
            </w:r>
            <w:r>
              <w:rPr>
                <w:b/>
                <w:color w:val="FFFFFF"/>
                <w:sz w:val="17"/>
              </w:rPr>
              <w:t>Fold 2</w:t>
            </w:r>
          </w:p>
        </w:tc>
        <w:tc>
          <w:tcPr>
            <w:tcW w:type="dxa" w:w="1020"/>
            <w:shd w:val="clear" w:color="auto" w:fill="1F2433"/>
          </w:tcPr>
          <w:p>
            <w:pPr>
              <w:spacing w:after="0"/>
              <w:jc w:val="center"/>
            </w:pPr>
            <w:r>
              <w:rPr>
                <w:b/>
                <w:color w:val="FFFFFF"/>
              </w:rPr>
            </w:r>
            <w:r>
              <w:rPr>
                <w:b/>
                <w:color w:val="FFFFFF"/>
                <w:sz w:val="17"/>
              </w:rPr>
              <w:t>Fold 3</w:t>
            </w:r>
          </w:p>
        </w:tc>
        <w:tc>
          <w:tcPr>
            <w:tcW w:type="dxa" w:w="1020"/>
            <w:shd w:val="clear" w:color="auto" w:fill="1F2433"/>
          </w:tcPr>
          <w:p>
            <w:pPr>
              <w:spacing w:after="0"/>
              <w:jc w:val="center"/>
            </w:pPr>
            <w:r>
              <w:rPr>
                <w:b/>
                <w:color w:val="FFFFFF"/>
              </w:rPr>
            </w:r>
            <w:r>
              <w:rPr>
                <w:b/>
                <w:color w:val="FFFFFF"/>
                <w:sz w:val="17"/>
              </w:rPr>
              <w:t>Fold 4</w:t>
            </w:r>
          </w:p>
        </w:tc>
        <w:tc>
          <w:tcPr>
            <w:tcW w:type="dxa" w:w="1020"/>
            <w:shd w:val="clear" w:color="auto" w:fill="1F2433"/>
          </w:tcPr>
          <w:p>
            <w:pPr>
              <w:spacing w:after="0"/>
              <w:jc w:val="center"/>
            </w:pPr>
            <w:r>
              <w:rPr>
                <w:b/>
                <w:color w:val="FFFFFF"/>
              </w:rPr>
            </w:r>
            <w:r>
              <w:rPr>
                <w:b/>
                <w:color w:val="FFFFFF"/>
                <w:sz w:val="17"/>
              </w:rPr>
              <w:t>Fold 5</w:t>
            </w:r>
          </w:p>
        </w:tc>
        <w:tc>
          <w:tcPr>
            <w:tcW w:type="dxa" w:w="1020"/>
            <w:shd w:val="clear" w:color="auto" w:fill="1F2433"/>
          </w:tcPr>
          <w:p>
            <w:pPr>
              <w:spacing w:after="0"/>
              <w:jc w:val="center"/>
            </w:pPr>
            <w:r>
              <w:rPr>
                <w:b/>
                <w:color w:val="FFFFFF"/>
              </w:rPr>
            </w:r>
            <w:r>
              <w:rPr>
                <w:b/>
                <w:color w:val="FFFFFF"/>
                <w:sz w:val="17"/>
              </w:rPr>
              <w:t>Mean</w:t>
            </w:r>
          </w:p>
        </w:tc>
      </w:tr>
      <w:tr>
        <w:tc>
          <w:tcPr>
            <w:tcW w:type="dxa" w:w="1701"/>
          </w:tcPr>
          <w:p>
            <w:pPr>
              <w:spacing w:after="0"/>
              <w:jc w:val="left"/>
            </w:pPr>
            <w:r/>
            <w:r>
              <w:rPr>
                <w:sz w:val="17"/>
              </w:rPr>
              <w:t>KNN</w:t>
            </w:r>
          </w:p>
        </w:tc>
        <w:tc>
          <w:tcPr>
            <w:tcW w:type="dxa" w:w="1020"/>
          </w:tcPr>
          <w:p>
            <w:pPr>
              <w:spacing w:after="0"/>
              <w:jc w:val="center"/>
            </w:pPr>
            <w:r/>
            <w:r>
              <w:rPr>
                <w:sz w:val="17"/>
              </w:rPr>
              <w:t>+0.104</w:t>
            </w:r>
          </w:p>
        </w:tc>
        <w:tc>
          <w:tcPr>
            <w:tcW w:type="dxa" w:w="1020"/>
          </w:tcPr>
          <w:p>
            <w:pPr>
              <w:spacing w:after="0"/>
              <w:jc w:val="center"/>
            </w:pPr>
            <w:r/>
            <w:r>
              <w:rPr>
                <w:sz w:val="17"/>
              </w:rPr>
              <w:t>+0.029</w:t>
            </w:r>
          </w:p>
        </w:tc>
        <w:tc>
          <w:tcPr>
            <w:tcW w:type="dxa" w:w="1020"/>
          </w:tcPr>
          <w:p>
            <w:pPr>
              <w:spacing w:after="0"/>
              <w:jc w:val="center"/>
            </w:pPr>
            <w:r/>
            <w:r>
              <w:rPr>
                <w:sz w:val="17"/>
              </w:rPr>
              <w:t>-0.058</w:t>
            </w:r>
          </w:p>
        </w:tc>
        <w:tc>
          <w:tcPr>
            <w:tcW w:type="dxa" w:w="1020"/>
          </w:tcPr>
          <w:p>
            <w:pPr>
              <w:spacing w:after="0"/>
              <w:jc w:val="center"/>
            </w:pPr>
            <w:r/>
            <w:r>
              <w:rPr>
                <w:sz w:val="17"/>
              </w:rPr>
              <w:t>-0.032</w:t>
            </w:r>
          </w:p>
        </w:tc>
        <w:tc>
          <w:tcPr>
            <w:tcW w:type="dxa" w:w="1020"/>
          </w:tcPr>
          <w:p>
            <w:pPr>
              <w:spacing w:after="0"/>
              <w:jc w:val="center"/>
            </w:pPr>
            <w:r/>
            <w:r>
              <w:rPr>
                <w:sz w:val="17"/>
              </w:rPr>
              <w:t>-0.036</w:t>
            </w:r>
          </w:p>
        </w:tc>
        <w:tc>
          <w:tcPr>
            <w:tcW w:type="dxa" w:w="1020"/>
          </w:tcPr>
          <w:p>
            <w:pPr>
              <w:spacing w:after="0"/>
              <w:jc w:val="center"/>
            </w:pPr>
            <w:r/>
            <w:r>
              <w:rPr>
                <w:sz w:val="17"/>
              </w:rPr>
              <w:t>+0.001</w:t>
            </w:r>
          </w:p>
        </w:tc>
      </w:tr>
      <w:tr>
        <w:tc>
          <w:tcPr>
            <w:tcW w:type="dxa" w:w="1701"/>
            <w:shd w:val="clear" w:color="auto" w:fill="F1F3F6"/>
          </w:tcPr>
          <w:p>
            <w:pPr>
              <w:spacing w:after="0"/>
              <w:jc w:val="left"/>
            </w:pPr>
            <w:r/>
            <w:r>
              <w:rPr>
                <w:sz w:val="17"/>
              </w:rPr>
              <w:t>Random Forest</w:t>
            </w:r>
          </w:p>
        </w:tc>
        <w:tc>
          <w:tcPr>
            <w:tcW w:type="dxa" w:w="1020"/>
            <w:shd w:val="clear" w:color="auto" w:fill="F1F3F6"/>
          </w:tcPr>
          <w:p>
            <w:pPr>
              <w:spacing w:after="0"/>
              <w:jc w:val="center"/>
            </w:pPr>
            <w:r/>
            <w:r>
              <w:rPr>
                <w:sz w:val="17"/>
              </w:rPr>
              <w:t>+0.031</w:t>
            </w:r>
          </w:p>
        </w:tc>
        <w:tc>
          <w:tcPr>
            <w:tcW w:type="dxa" w:w="1020"/>
            <w:shd w:val="clear" w:color="auto" w:fill="F1F3F6"/>
          </w:tcPr>
          <w:p>
            <w:pPr>
              <w:spacing w:after="0"/>
              <w:jc w:val="center"/>
            </w:pPr>
            <w:r/>
            <w:r>
              <w:rPr>
                <w:sz w:val="17"/>
              </w:rPr>
              <w:t>+0.030</w:t>
            </w:r>
          </w:p>
        </w:tc>
        <w:tc>
          <w:tcPr>
            <w:tcW w:type="dxa" w:w="1020"/>
            <w:shd w:val="clear" w:color="auto" w:fill="F1F3F6"/>
          </w:tcPr>
          <w:p>
            <w:pPr>
              <w:spacing w:after="0"/>
              <w:jc w:val="center"/>
            </w:pPr>
            <w:r/>
            <w:r>
              <w:rPr>
                <w:sz w:val="17"/>
              </w:rPr>
              <w:t>-0.017</w:t>
            </w:r>
          </w:p>
        </w:tc>
        <w:tc>
          <w:tcPr>
            <w:tcW w:type="dxa" w:w="1020"/>
            <w:shd w:val="clear" w:color="auto" w:fill="F1F3F6"/>
          </w:tcPr>
          <w:p>
            <w:pPr>
              <w:spacing w:after="0"/>
              <w:jc w:val="center"/>
            </w:pPr>
            <w:r/>
            <w:r>
              <w:rPr>
                <w:sz w:val="17"/>
              </w:rPr>
              <w:t>-0.010</w:t>
            </w:r>
          </w:p>
        </w:tc>
        <w:tc>
          <w:tcPr>
            <w:tcW w:type="dxa" w:w="1020"/>
            <w:shd w:val="clear" w:color="auto" w:fill="F1F3F6"/>
          </w:tcPr>
          <w:p>
            <w:pPr>
              <w:spacing w:after="0"/>
              <w:jc w:val="center"/>
            </w:pPr>
            <w:r/>
            <w:r>
              <w:rPr>
                <w:sz w:val="17"/>
              </w:rPr>
              <w:t>-0.002</w:t>
            </w:r>
          </w:p>
        </w:tc>
        <w:tc>
          <w:tcPr>
            <w:tcW w:type="dxa" w:w="1020"/>
            <w:shd w:val="clear" w:color="auto" w:fill="F1F3F6"/>
          </w:tcPr>
          <w:p>
            <w:pPr>
              <w:spacing w:after="0"/>
              <w:jc w:val="center"/>
            </w:pPr>
            <w:r/>
            <w:r>
              <w:rPr>
                <w:sz w:val="17"/>
              </w:rPr>
              <w:t>+0.006</w:t>
            </w:r>
          </w:p>
        </w:tc>
      </w:tr>
      <w:tr>
        <w:tc>
          <w:tcPr>
            <w:tcW w:type="dxa" w:w="1701"/>
          </w:tcPr>
          <w:p>
            <w:pPr>
              <w:spacing w:after="0"/>
              <w:jc w:val="left"/>
            </w:pPr>
            <w:r/>
            <w:r>
              <w:rPr>
                <w:sz w:val="17"/>
              </w:rPr>
              <w:t>Ridge</w:t>
            </w:r>
          </w:p>
        </w:tc>
        <w:tc>
          <w:tcPr>
            <w:tcW w:type="dxa" w:w="1020"/>
          </w:tcPr>
          <w:p>
            <w:pPr>
              <w:spacing w:after="0"/>
              <w:jc w:val="center"/>
            </w:pPr>
            <w:r/>
            <w:r>
              <w:rPr>
                <w:sz w:val="17"/>
              </w:rPr>
              <w:t>+0.001</w:t>
            </w:r>
          </w:p>
        </w:tc>
        <w:tc>
          <w:tcPr>
            <w:tcW w:type="dxa" w:w="1020"/>
          </w:tcPr>
          <w:p>
            <w:pPr>
              <w:spacing w:after="0"/>
              <w:jc w:val="center"/>
            </w:pPr>
            <w:r/>
            <w:r>
              <w:rPr>
                <w:sz w:val="17"/>
              </w:rPr>
              <w:t>-0.006</w:t>
            </w:r>
          </w:p>
        </w:tc>
        <w:tc>
          <w:tcPr>
            <w:tcW w:type="dxa" w:w="1020"/>
          </w:tcPr>
          <w:p>
            <w:pPr>
              <w:spacing w:after="0"/>
              <w:jc w:val="center"/>
            </w:pPr>
            <w:r/>
            <w:r>
              <w:rPr>
                <w:sz w:val="17"/>
              </w:rPr>
              <w:t>-0.003</w:t>
            </w:r>
          </w:p>
        </w:tc>
        <w:tc>
          <w:tcPr>
            <w:tcW w:type="dxa" w:w="1020"/>
          </w:tcPr>
          <w:p>
            <w:pPr>
              <w:spacing w:after="0"/>
              <w:jc w:val="center"/>
            </w:pPr>
            <w:r/>
            <w:r>
              <w:rPr>
                <w:sz w:val="17"/>
              </w:rPr>
              <w:t>+0.008</w:t>
            </w:r>
          </w:p>
        </w:tc>
        <w:tc>
          <w:tcPr>
            <w:tcW w:type="dxa" w:w="1020"/>
          </w:tcPr>
          <w:p>
            <w:pPr>
              <w:spacing w:after="0"/>
              <w:jc w:val="center"/>
            </w:pPr>
            <w:r/>
            <w:r>
              <w:rPr>
                <w:sz w:val="17"/>
              </w:rPr>
              <w:t>+0.004</w:t>
            </w:r>
          </w:p>
        </w:tc>
        <w:tc>
          <w:tcPr>
            <w:tcW w:type="dxa" w:w="1020"/>
          </w:tcPr>
          <w:p>
            <w:pPr>
              <w:spacing w:after="0"/>
              <w:jc w:val="center"/>
            </w:pPr>
            <w:r/>
            <w:r>
              <w:rPr>
                <w:sz w:val="17"/>
              </w:rPr>
              <w:t>+0.001</w:t>
            </w:r>
          </w:p>
        </w:tc>
      </w:tr>
      <w:tr>
        <w:tc>
          <w:tcPr>
            <w:tcW w:type="dxa" w:w="1701"/>
            <w:shd w:val="clear" w:color="auto" w:fill="F1F3F6"/>
          </w:tcPr>
          <w:p>
            <w:pPr>
              <w:spacing w:after="0"/>
              <w:jc w:val="left"/>
            </w:pPr>
            <w:r/>
            <w:r>
              <w:rPr>
                <w:sz w:val="17"/>
              </w:rPr>
              <w:t>Elastic Net</w:t>
            </w:r>
          </w:p>
        </w:tc>
        <w:tc>
          <w:tcPr>
            <w:tcW w:type="dxa" w:w="1020"/>
            <w:shd w:val="clear" w:color="auto" w:fill="F1F3F6"/>
          </w:tcPr>
          <w:p>
            <w:pPr>
              <w:spacing w:after="0"/>
              <w:jc w:val="center"/>
            </w:pPr>
            <w:r/>
            <w:r>
              <w:rPr>
                <w:sz w:val="17"/>
              </w:rPr>
              <w:t>+0.000</w:t>
            </w:r>
          </w:p>
        </w:tc>
        <w:tc>
          <w:tcPr>
            <w:tcW w:type="dxa" w:w="1020"/>
            <w:shd w:val="clear" w:color="auto" w:fill="F1F3F6"/>
          </w:tcPr>
          <w:p>
            <w:pPr>
              <w:spacing w:after="0"/>
              <w:jc w:val="center"/>
            </w:pPr>
            <w:r/>
            <w:r>
              <w:rPr>
                <w:sz w:val="17"/>
              </w:rPr>
              <w:t>+0.000</w:t>
            </w:r>
          </w:p>
        </w:tc>
        <w:tc>
          <w:tcPr>
            <w:tcW w:type="dxa" w:w="1020"/>
            <w:shd w:val="clear" w:color="auto" w:fill="F1F3F6"/>
          </w:tcPr>
          <w:p>
            <w:pPr>
              <w:spacing w:after="0"/>
              <w:jc w:val="center"/>
            </w:pPr>
            <w:r/>
            <w:r>
              <w:rPr>
                <w:sz w:val="17"/>
              </w:rPr>
              <w:t>+0.000</w:t>
            </w:r>
          </w:p>
        </w:tc>
        <w:tc>
          <w:tcPr>
            <w:tcW w:type="dxa" w:w="1020"/>
            <w:shd w:val="clear" w:color="auto" w:fill="F1F3F6"/>
          </w:tcPr>
          <w:p>
            <w:pPr>
              <w:spacing w:after="0"/>
              <w:jc w:val="center"/>
            </w:pPr>
            <w:r/>
            <w:r>
              <w:rPr>
                <w:sz w:val="17"/>
              </w:rPr>
              <w:t>+0.001</w:t>
            </w:r>
          </w:p>
        </w:tc>
        <w:tc>
          <w:tcPr>
            <w:tcW w:type="dxa" w:w="1020"/>
            <w:shd w:val="clear" w:color="auto" w:fill="F1F3F6"/>
          </w:tcPr>
          <w:p>
            <w:pPr>
              <w:spacing w:after="0"/>
              <w:jc w:val="center"/>
            </w:pPr>
            <w:r/>
            <w:r>
              <w:rPr>
                <w:sz w:val="17"/>
              </w:rPr>
              <w:t>+0.003</w:t>
            </w:r>
          </w:p>
        </w:tc>
        <w:tc>
          <w:tcPr>
            <w:tcW w:type="dxa" w:w="1020"/>
            <w:shd w:val="clear" w:color="auto" w:fill="F1F3F6"/>
          </w:tcPr>
          <w:p>
            <w:pPr>
              <w:spacing w:after="0"/>
              <w:jc w:val="center"/>
            </w:pPr>
            <w:r/>
            <w:r>
              <w:rPr>
                <w:sz w:val="17"/>
              </w:rPr>
              <w:t>+0.001</w:t>
            </w:r>
          </w:p>
        </w:tc>
      </w:tr>
    </w:tbl>
    <w:p>
      <w:pPr>
        <w:spacing w:after="40"/>
      </w:pPr>
    </w:p>
    <w:p>
      <w:pPr>
        <w:jc w:val="both"/>
      </w:pPr>
      <w:r>
        <w:t>Table 4 shows why the small average gains should not be read as a signal. For the Random Forest the gain is +0.031 and +0.030 in the two oldest folds and negative in the three most recent ones; KNN shows the same pattern with larger swings (+0.104 in fold 1, −0.058 in fold 3). A feature block that helps early and hurts later, with the most recent folds trained on the most data, is what a chance result looks like. The linear models' differences are an order of magnitude smaller still (|Δ| &lt; 0.008), because they keep the unlock coefficients close to zero.</w:t>
      </w:r>
    </w:p>
    <w:p>
      <w:pPr>
        <w:pStyle w:val="Heading2"/>
      </w:pPr>
      <w:r>
        <w:t>5.3  What the models learn from unlock features</w:t>
      </w:r>
    </w:p>
    <w:p>
      <w:pPr>
        <w:jc w:val="both"/>
      </w:pPr>
      <w:r>
        <w:rPr>
          <w:b/>
        </w:rPr>
        <w:t>Random Forest.</w:t>
      </w:r>
      <w:r>
        <w:t xml:space="preserve"> Permutation importance on the last fold's test set (Figure A2) ranks trailing 30d, 14d and 7d volatility, trailing 30-day return and token age as the five most important features. Summed by group, shuffling the controls raises test RMSE by 0.031, the 13 emission features by 0.010 and the 10 static features by 0.005. The best emission feature (90-day unlock share) is worth 1.5 to 5 times less than each of the top five controls. Partial dependence on 30-day unlock pressure is nearly flat in every BTC volatility regime (Figure A3), and dropping the aggregate 30-day column does not make the six recipient-split columns carry the signal (test RMSE 0.5088 vs 0.5083).</w:t>
      </w:r>
    </w:p>
    <w:p>
      <w:pPr>
        <w:jc w:val="both"/>
      </w:pPr>
      <w:r>
        <w:rPr>
          <w:b/>
        </w:rPr>
        <w:t>Ridge and Elastic Net.</w:t>
      </w:r>
      <w:r>
        <w:t xml:space="preserve"> Validation selected strong penalties: Ridge chose α = 10⁴ to 10⁷, and Elastic Net set </w:t>
      </w:r>
      <w:r>
        <w:rPr>
          <w:b/>
        </w:rPr>
        <w:t>every</w:t>
      </w:r>
      <w:r>
        <w:t xml:space="preserve"> coefficient to zero in folds 1 and 3, i.e. it fell back to the training mean, which on validation data was hard to beat. In the remaining folds the largest standardized coefficients are trailing 30-day volatility (+0.04 log-vol per s.d.), token age (−0.03) and ETH volatility (−0.03); the largest unlock coefficient, the 90-day unlock share, is +0.008, positive as the narrative predicts but small (Figure A4).</w:t>
      </w:r>
    </w:p>
    <w:p>
      <w:pPr>
        <w:jc w:val="both"/>
      </w:pPr>
      <w:r>
        <w:rPr>
          <w:b/>
        </w:rPr>
        <w:t>KNN.</w:t>
      </w:r>
      <w:r>
        <w:t xml:space="preserve"> KNN is the only model whose best variant is not CONTROLS or FULL: CONTROLS+EMIS5 reaches 0.240 (daily) against 0.235 for FULL. With 23 extra dimensions the neighbourhoods are diluted by uninformative distances, so for a distance-based learner a small, relevant feature set matters more than a large one.</w:t>
      </w:r>
    </w:p>
    <w:p>
      <w:pPr>
        <w:pStyle w:val="Heading2"/>
      </w:pPr>
      <w:r>
        <w:t>5.4  Classification view (logistic regression)</w:t>
      </w:r>
    </w:p>
    <w:p>
      <w:pPr>
        <w:keepNext/>
        <w:spacing w:after="40"/>
        <w:jc w:val="both"/>
      </w:pPr>
      <w:r>
        <w:rPr>
          <w:b/>
          <w:color w:val="5A6070"/>
          <w:sz w:val="18"/>
        </w:rPr>
        <w:t>Table 5. Logistic regression, daily panel, mean of 5 folds. Naive = rank by trailing 14d volatility; BSS = Brier skill score vs the training base rate.</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2041"/>
            <w:shd w:val="clear" w:color="auto" w:fill="1F2433"/>
          </w:tcPr>
          <w:p>
            <w:pPr>
              <w:spacing w:after="0"/>
              <w:jc w:val="left"/>
            </w:pPr>
            <w:r>
              <w:rPr>
                <w:b/>
                <w:color w:val="FFFFFF"/>
              </w:rPr>
            </w:r>
            <w:r>
              <w:rPr>
                <w:b/>
                <w:color w:val="FFFFFF"/>
                <w:sz w:val="17"/>
              </w:rPr>
              <w:t>Event</w:t>
            </w:r>
          </w:p>
        </w:tc>
        <w:tc>
          <w:tcPr>
            <w:tcW w:type="dxa" w:w="907"/>
            <w:shd w:val="clear" w:color="auto" w:fill="1F2433"/>
          </w:tcPr>
          <w:p>
            <w:pPr>
              <w:spacing w:after="0"/>
              <w:jc w:val="center"/>
            </w:pPr>
            <w:r>
              <w:rPr>
                <w:b/>
                <w:color w:val="FFFFFF"/>
              </w:rPr>
            </w:r>
            <w:r>
              <w:rPr>
                <w:b/>
                <w:color w:val="FFFFFF"/>
                <w:sz w:val="17"/>
              </w:rPr>
              <w:t>AUC naive</w:t>
            </w:r>
          </w:p>
        </w:tc>
        <w:tc>
          <w:tcPr>
            <w:tcW w:type="dxa" w:w="907"/>
            <w:shd w:val="clear" w:color="auto" w:fill="1F2433"/>
          </w:tcPr>
          <w:p>
            <w:pPr>
              <w:spacing w:after="0"/>
              <w:jc w:val="center"/>
            </w:pPr>
            <w:r>
              <w:rPr>
                <w:b/>
                <w:color w:val="FFFFFF"/>
              </w:rPr>
            </w:r>
            <w:r>
              <w:rPr>
                <w:b/>
                <w:color w:val="FFFFFF"/>
                <w:sz w:val="17"/>
              </w:rPr>
              <w:t>AUC CTRL</w:t>
            </w:r>
          </w:p>
        </w:tc>
        <w:tc>
          <w:tcPr>
            <w:tcW w:type="dxa" w:w="907"/>
            <w:shd w:val="clear" w:color="auto" w:fill="1F2433"/>
          </w:tcPr>
          <w:p>
            <w:pPr>
              <w:spacing w:after="0"/>
              <w:jc w:val="center"/>
            </w:pPr>
            <w:r>
              <w:rPr>
                <w:b/>
                <w:color w:val="FFFFFF"/>
              </w:rPr>
            </w:r>
            <w:r>
              <w:rPr>
                <w:b/>
                <w:color w:val="FFFFFF"/>
                <w:sz w:val="17"/>
              </w:rPr>
              <w:t>AUC FULL</w:t>
            </w:r>
          </w:p>
        </w:tc>
        <w:tc>
          <w:tcPr>
            <w:tcW w:type="dxa" w:w="794"/>
            <w:shd w:val="clear" w:color="auto" w:fill="1F2433"/>
          </w:tcPr>
          <w:p>
            <w:pPr>
              <w:spacing w:after="0"/>
              <w:jc w:val="center"/>
            </w:pPr>
            <w:r>
              <w:rPr>
                <w:b/>
                <w:color w:val="FFFFFF"/>
              </w:rPr>
            </w:r>
            <w:r>
              <w:rPr>
                <w:b/>
                <w:color w:val="FFFFFF"/>
                <w:sz w:val="17"/>
              </w:rPr>
              <w:t>ΔAUC</w:t>
            </w:r>
          </w:p>
        </w:tc>
        <w:tc>
          <w:tcPr>
            <w:tcW w:type="dxa" w:w="1020"/>
            <w:shd w:val="clear" w:color="auto" w:fill="1F2433"/>
          </w:tcPr>
          <w:p>
            <w:pPr>
              <w:spacing w:after="0"/>
              <w:jc w:val="center"/>
            </w:pPr>
            <w:r>
              <w:rPr>
                <w:b/>
                <w:color w:val="FFFFFF"/>
              </w:rPr>
            </w:r>
            <w:r>
              <w:rPr>
                <w:b/>
                <w:color w:val="FFFFFF"/>
                <w:sz w:val="17"/>
              </w:rPr>
              <w:t>PR-AUC CTRL</w:t>
            </w:r>
          </w:p>
        </w:tc>
        <w:tc>
          <w:tcPr>
            <w:tcW w:type="dxa" w:w="1020"/>
            <w:shd w:val="clear" w:color="auto" w:fill="1F2433"/>
          </w:tcPr>
          <w:p>
            <w:pPr>
              <w:spacing w:after="0"/>
              <w:jc w:val="center"/>
            </w:pPr>
            <w:r>
              <w:rPr>
                <w:b/>
                <w:color w:val="FFFFFF"/>
              </w:rPr>
            </w:r>
            <w:r>
              <w:rPr>
                <w:b/>
                <w:color w:val="FFFFFF"/>
                <w:sz w:val="17"/>
              </w:rPr>
              <w:t>PR-AUC FULL</w:t>
            </w:r>
          </w:p>
        </w:tc>
        <w:tc>
          <w:tcPr>
            <w:tcW w:type="dxa" w:w="850"/>
            <w:shd w:val="clear" w:color="auto" w:fill="1F2433"/>
          </w:tcPr>
          <w:p>
            <w:pPr>
              <w:spacing w:after="0"/>
              <w:jc w:val="center"/>
            </w:pPr>
            <w:r>
              <w:rPr>
                <w:b/>
                <w:color w:val="FFFFFF"/>
              </w:rPr>
            </w:r>
            <w:r>
              <w:rPr>
                <w:b/>
                <w:color w:val="FFFFFF"/>
                <w:sz w:val="17"/>
              </w:rPr>
              <w:t>BSS CTRL</w:t>
            </w:r>
          </w:p>
        </w:tc>
        <w:tc>
          <w:tcPr>
            <w:tcW w:type="dxa" w:w="850"/>
            <w:shd w:val="clear" w:color="auto" w:fill="1F2433"/>
          </w:tcPr>
          <w:p>
            <w:pPr>
              <w:spacing w:after="0"/>
              <w:jc w:val="center"/>
            </w:pPr>
            <w:r>
              <w:rPr>
                <w:b/>
                <w:color w:val="FFFFFF"/>
              </w:rPr>
            </w:r>
            <w:r>
              <w:rPr>
                <w:b/>
                <w:color w:val="FFFFFF"/>
                <w:sz w:val="17"/>
              </w:rPr>
              <w:t>BSS FULL</w:t>
            </w:r>
          </w:p>
        </w:tc>
      </w:tr>
      <w:tr>
        <w:tc>
          <w:tcPr>
            <w:tcW w:type="dxa" w:w="2041"/>
          </w:tcPr>
          <w:p>
            <w:pPr>
              <w:spacing w:after="0"/>
              <w:jc w:val="left"/>
            </w:pPr>
            <w:r/>
            <w:r>
              <w:rPr>
                <w:sz w:val="17"/>
              </w:rPr>
              <w:t>Top 20% cross-section</w:t>
            </w:r>
          </w:p>
        </w:tc>
        <w:tc>
          <w:tcPr>
            <w:tcW w:type="dxa" w:w="907"/>
          </w:tcPr>
          <w:p>
            <w:pPr>
              <w:spacing w:after="0"/>
              <w:jc w:val="center"/>
            </w:pPr>
            <w:r/>
            <w:r>
              <w:rPr>
                <w:sz w:val="17"/>
              </w:rPr>
              <w:t>0.653</w:t>
            </w:r>
          </w:p>
        </w:tc>
        <w:tc>
          <w:tcPr>
            <w:tcW w:type="dxa" w:w="907"/>
          </w:tcPr>
          <w:p>
            <w:pPr>
              <w:spacing w:after="0"/>
              <w:jc w:val="center"/>
            </w:pPr>
            <w:r/>
            <w:r>
              <w:rPr>
                <w:sz w:val="17"/>
              </w:rPr>
              <w:t>0.694</w:t>
            </w:r>
          </w:p>
        </w:tc>
        <w:tc>
          <w:tcPr>
            <w:tcW w:type="dxa" w:w="907"/>
          </w:tcPr>
          <w:p>
            <w:pPr>
              <w:spacing w:after="0"/>
              <w:jc w:val="center"/>
            </w:pPr>
            <w:r/>
            <w:r>
              <w:rPr>
                <w:sz w:val="17"/>
              </w:rPr>
              <w:t>0.693</w:t>
            </w:r>
          </w:p>
        </w:tc>
        <w:tc>
          <w:tcPr>
            <w:tcW w:type="dxa" w:w="794"/>
          </w:tcPr>
          <w:p>
            <w:pPr>
              <w:spacing w:after="0"/>
              <w:jc w:val="center"/>
            </w:pPr>
            <w:r/>
            <w:r>
              <w:rPr>
                <w:sz w:val="17"/>
              </w:rPr>
              <w:t>-0.002</w:t>
            </w:r>
          </w:p>
        </w:tc>
        <w:tc>
          <w:tcPr>
            <w:tcW w:type="dxa" w:w="1020"/>
          </w:tcPr>
          <w:p>
            <w:pPr>
              <w:spacing w:after="0"/>
              <w:jc w:val="center"/>
            </w:pPr>
            <w:r/>
            <w:r>
              <w:rPr>
                <w:sz w:val="17"/>
              </w:rPr>
              <w:t>0.384</w:t>
            </w:r>
          </w:p>
        </w:tc>
        <w:tc>
          <w:tcPr>
            <w:tcW w:type="dxa" w:w="1020"/>
          </w:tcPr>
          <w:p>
            <w:pPr>
              <w:spacing w:after="0"/>
              <w:jc w:val="center"/>
            </w:pPr>
            <w:r/>
            <w:r>
              <w:rPr>
                <w:sz w:val="17"/>
              </w:rPr>
              <w:t>0.373</w:t>
            </w:r>
          </w:p>
        </w:tc>
        <w:tc>
          <w:tcPr>
            <w:tcW w:type="dxa" w:w="850"/>
          </w:tcPr>
          <w:p>
            <w:pPr>
              <w:spacing w:after="0"/>
              <w:jc w:val="center"/>
            </w:pPr>
            <w:r/>
            <w:r>
              <w:rPr>
                <w:sz w:val="17"/>
              </w:rPr>
              <w:t>0.079</w:t>
            </w:r>
          </w:p>
        </w:tc>
        <w:tc>
          <w:tcPr>
            <w:tcW w:type="dxa" w:w="850"/>
          </w:tcPr>
          <w:p>
            <w:pPr>
              <w:spacing w:after="0"/>
              <w:jc w:val="center"/>
            </w:pPr>
            <w:r/>
            <w:r>
              <w:rPr>
                <w:sz w:val="17"/>
              </w:rPr>
              <w:t>0.072</w:t>
            </w:r>
          </w:p>
        </w:tc>
      </w:tr>
      <w:tr>
        <w:tc>
          <w:tcPr>
            <w:tcW w:type="dxa" w:w="2041"/>
            <w:shd w:val="clear" w:color="auto" w:fill="F1F3F6"/>
          </w:tcPr>
          <w:p>
            <w:pPr>
              <w:spacing w:after="0"/>
              <w:jc w:val="left"/>
            </w:pPr>
            <w:r/>
            <w:r>
              <w:rPr>
                <w:sz w:val="17"/>
              </w:rPr>
              <w:t>Spike &gt; 1.5× own 30d vol</w:t>
            </w:r>
          </w:p>
        </w:tc>
        <w:tc>
          <w:tcPr>
            <w:tcW w:type="dxa" w:w="907"/>
            <w:shd w:val="clear" w:color="auto" w:fill="F1F3F6"/>
          </w:tcPr>
          <w:p>
            <w:pPr>
              <w:spacing w:after="0"/>
              <w:jc w:val="center"/>
            </w:pPr>
            <w:r/>
            <w:r>
              <w:rPr>
                <w:sz w:val="17"/>
              </w:rPr>
              <w:t>–</w:t>
            </w:r>
          </w:p>
        </w:tc>
        <w:tc>
          <w:tcPr>
            <w:tcW w:type="dxa" w:w="907"/>
            <w:shd w:val="clear" w:color="auto" w:fill="F1F3F6"/>
          </w:tcPr>
          <w:p>
            <w:pPr>
              <w:spacing w:after="0"/>
              <w:jc w:val="center"/>
            </w:pPr>
            <w:r/>
            <w:r>
              <w:rPr>
                <w:sz w:val="17"/>
              </w:rPr>
              <w:t>0.722</w:t>
            </w:r>
          </w:p>
        </w:tc>
        <w:tc>
          <w:tcPr>
            <w:tcW w:type="dxa" w:w="907"/>
            <w:shd w:val="clear" w:color="auto" w:fill="F1F3F6"/>
          </w:tcPr>
          <w:p>
            <w:pPr>
              <w:spacing w:after="0"/>
              <w:jc w:val="center"/>
            </w:pPr>
            <w:r/>
            <w:r>
              <w:rPr>
                <w:sz w:val="17"/>
              </w:rPr>
              <w:t>0.718</w:t>
            </w:r>
          </w:p>
        </w:tc>
        <w:tc>
          <w:tcPr>
            <w:tcW w:type="dxa" w:w="794"/>
            <w:shd w:val="clear" w:color="auto" w:fill="F1F3F6"/>
          </w:tcPr>
          <w:p>
            <w:pPr>
              <w:spacing w:after="0"/>
              <w:jc w:val="center"/>
            </w:pPr>
            <w:r/>
            <w:r>
              <w:rPr>
                <w:sz w:val="17"/>
              </w:rPr>
              <w:t>-0.004</w:t>
            </w:r>
          </w:p>
        </w:tc>
        <w:tc>
          <w:tcPr>
            <w:tcW w:type="dxa" w:w="1020"/>
            <w:shd w:val="clear" w:color="auto" w:fill="F1F3F6"/>
          </w:tcPr>
          <w:p>
            <w:pPr>
              <w:spacing w:after="0"/>
              <w:jc w:val="center"/>
            </w:pPr>
            <w:r/>
            <w:r>
              <w:rPr>
                <w:sz w:val="17"/>
              </w:rPr>
              <w:t>0.283</w:t>
            </w:r>
          </w:p>
        </w:tc>
        <w:tc>
          <w:tcPr>
            <w:tcW w:type="dxa" w:w="1020"/>
            <w:shd w:val="clear" w:color="auto" w:fill="F1F3F6"/>
          </w:tcPr>
          <w:p>
            <w:pPr>
              <w:spacing w:after="0"/>
              <w:jc w:val="center"/>
            </w:pPr>
            <w:r/>
            <w:r>
              <w:rPr>
                <w:sz w:val="17"/>
              </w:rPr>
              <w:t>0.279</w:t>
            </w:r>
          </w:p>
        </w:tc>
        <w:tc>
          <w:tcPr>
            <w:tcW w:type="dxa" w:w="850"/>
            <w:shd w:val="clear" w:color="auto" w:fill="F1F3F6"/>
          </w:tcPr>
          <w:p>
            <w:pPr>
              <w:spacing w:after="0"/>
              <w:jc w:val="center"/>
            </w:pPr>
            <w:r/>
            <w:r>
              <w:rPr>
                <w:sz w:val="17"/>
              </w:rPr>
              <w:t>0.043</w:t>
            </w:r>
          </w:p>
        </w:tc>
        <w:tc>
          <w:tcPr>
            <w:tcW w:type="dxa" w:w="850"/>
            <w:shd w:val="clear" w:color="auto" w:fill="F1F3F6"/>
          </w:tcPr>
          <w:p>
            <w:pPr>
              <w:spacing w:after="0"/>
              <w:jc w:val="center"/>
            </w:pPr>
            <w:r/>
            <w:r>
              <w:rPr>
                <w:sz w:val="17"/>
              </w:rPr>
              <w:t>0.041</w:t>
            </w:r>
          </w:p>
        </w:tc>
      </w:tr>
    </w:tbl>
    <w:p>
      <w:pPr>
        <w:spacing w:after="40"/>
      </w:pPr>
    </w:p>
    <w:p>
      <w:pPr>
        <w:jc w:val="both"/>
      </w:pPr>
      <w:r>
        <w:t>Logistic regression on controls identifies high-volatility events clearly better than ranking by trailing volatility (AUC 0.694 vs 0.653 for the cross-sectional event). Adding unlock features lowers ROC-AUC, PR-AUC and Brier skill for both events on both panels (Figure A5). Unlock schedules therefore do not help pick out the tokens that will be most volatile, nor anticipate a jump in a token's own volatility.</w:t>
      </w:r>
    </w:p>
    <w:p>
      <w:pPr>
        <w:pStyle w:val="Heading2"/>
      </w:pPr>
      <w:r>
        <w:t>5.5  Robustness</w:t>
      </w:r>
    </w:p>
    <w:p>
      <w:pPr>
        <w:jc w:val="both"/>
      </w:pPr>
      <w:r>
        <w:t xml:space="preserve">The reading does not depend on the specification. On the </w:t>
      </w:r>
      <w:r>
        <w:rPr>
          <w:b/>
        </w:rPr>
        <w:t>weekly panel</w:t>
      </w:r>
      <w:r>
        <w:t xml:space="preserve">, which removes most overlap between rows, Δ is +0.007 (RF), -0.008 (KNN), +0.014 (Ridge) and +0.002 (Elastic Net); the Ridge gain comes almost entirely from fold 1 (+0.082) and is negative in two other folds. For </w:t>
      </w:r>
      <w:r>
        <w:rPr>
          <w:b/>
        </w:rPr>
        <w:t>alternative targets</w:t>
      </w:r>
      <w:r>
        <w:t xml:space="preserve"> (7-day, 30-day and Parkinson high-low 14-day volatility) the linear models' Δ stays between +0.001 and +0.011 (Ridge on the Parkinson target is the one case where FULL wins all five folds, still by only +0.011), while the RF FULL model reaches R²_oos of 0.35, 0.23 and 0.39, showing that the pipeline and controls generalise. On the </w:t>
      </w:r>
      <w:r>
        <w:rPr>
          <w:b/>
        </w:rPr>
        <w:t>hand-curated subsample</w:t>
      </w:r>
      <w:r>
        <w:t xml:space="preserve"> (tokens whose schedules Tokenomist maintains internally, where data should be cleanest) the RF gap is the largest we observe, +0.017, but still about a tenth of the fold spread, and it is +0.005 for Ridge and +0.000 for Elastic Net. Full robustness numbers are in Table A2.</w:t>
      </w:r>
    </w:p>
    <w:p>
      <w:pPr>
        <w:pStyle w:val="Heading2"/>
      </w:pPr>
      <w:r>
        <w:t>5.6  Model comparison and selection</w:t>
      </w:r>
    </w:p>
    <w:p>
      <w:pPr>
        <w:jc w:val="both"/>
      </w:pPr>
      <w:r>
        <w:t xml:space="preserve">For the forecasting task itself, </w:t>
      </w:r>
      <w:r>
        <w:rPr>
          <w:b/>
        </w:rPr>
        <w:t>Ridge on the control features</w:t>
      </w:r>
      <w:r>
        <w:t xml:space="preserve"> is our recommended model: it has the best or joint-best R²_oos and RMSE, the highest rank correlation, it trains in seconds, and its coefficients are interpretable. The Random Forest is a close second and the better choice if interactions or alternative targets matter (it is best on the 30-day and Parkinson targets). Elastic Net confirms the feature-selection reading by discarding unlock features, and KNN is the weakest regressor, sensitive to the dimension of the feature space. For the research question, the choice of model does not matter: </w:t>
      </w:r>
      <w:r>
        <w:rPr>
          <w:b/>
        </w:rPr>
        <w:t>no model, linear or non-linear, extracts reliable incremental information from unlock schedules</w:t>
      </w:r>
      <w:r>
        <w:t>.</w:t>
      </w:r>
    </w:p>
    <w:p>
      <w:pPr>
        <w:pStyle w:val="Heading1"/>
      </w:pPr>
      <w:r>
        <w:t>6  Discussion and Conclusion</w:t>
      </w:r>
    </w:p>
    <w:p>
      <w:pPr>
        <w:jc w:val="both"/>
      </w:pPr>
      <w:r>
        <w:rPr>
          <w:b/>
        </w:rPr>
        <w:t>Answer.</w:t>
      </w:r>
      <w:r>
        <w:t xml:space="preserve"> Once trailing volatility and the market regime are controlled for, scheduled token unlocks do not add reliable forecasting power for 14-day forward realized volatility in this panel. Five model families agree, the average gain is tiny relative to fold-to-fold variation, its sign is unstable over time, and the classification view shows a small loss. We did not tune the protocol or feature set to change this result.</w:t>
      </w:r>
    </w:p>
    <w:p>
      <w:pPr>
        <w:jc w:val="both"/>
      </w:pPr>
      <w:r>
        <w:rPr>
          <w:b/>
        </w:rPr>
        <w:t>Interpretation.</w:t>
      </w:r>
      <w:r>
        <w:t xml:space="preserve"> The raw correlation between unlock pressure and forward volatility (Figure 1) is real but not incremental: tokens with heavy unlocks are typically young, small and already volatile, and that information is already in their trailing volatility. Because schedules are public long in advance, any predictable effect on trading activity is plausibly priced and traded around before the event, consistent with semi-strong market efficiency (Fama, 1970). For practitioners, a large upcoming unlock is not a reason to raise a volatility forecast that already reflects the token's recent behaviour.</w:t>
      </w:r>
    </w:p>
    <w:p>
      <w:pPr>
        <w:jc w:val="both"/>
      </w:pPr>
      <w:r>
        <w:rPr>
          <w:b/>
        </w:rPr>
        <w:t>Limitations.</w:t>
      </w:r>
      <w:r>
        <w:t xml:space="preserve"> (i) The sample covers a single, calm-to-moderate regime (2024-09 to 2026-08) without a 2022-style stress episode; unlocks may matter more when liquidity is thin. (ii) Schedules are the version curated on the pull date, so revised schedules are back-filled; this can only flatter the unlock features, which strengthens the null. (iii) Static allocation data are a snapshot. (iv) Only 176 tokens with Binance USDT pairs are covered, which favours larger, more liquid tokens. (v) Daily RF runs used a subset of the hyper-parameter grid for run time.</w:t>
      </w:r>
    </w:p>
    <w:p>
      <w:pPr>
        <w:jc w:val="both"/>
      </w:pPr>
      <w:r>
        <w:rPr>
          <w:b/>
        </w:rPr>
        <w:t>Future work.</w:t>
      </w:r>
      <w:r>
        <w:t xml:space="preserve"> Event-study designs around large cliff unlocks (rather than a pooled daily forecast); intraday data to look at the hours around an unlock; interactions with liquidity, order-book depth and derivatives funding; point-in-time snapshots of schedules to remove revision bias; and gradient-boosted trees or HAR-style models with unlock terms as further model families.</w:t>
      </w:r>
    </w:p>
    <w:p>
      <w:pPr>
        <w:pStyle w:val="Heading1"/>
      </w:pPr>
      <w:r>
        <w:t>References</w:t>
      </w:r>
    </w:p>
    <w:p>
      <w:pPr>
        <w:spacing w:after="20"/>
        <w:ind w:left="340" w:hanging="340"/>
        <w:jc w:val="both"/>
      </w:pPr>
      <w:r>
        <w:rPr>
          <w:sz w:val="18"/>
        </w:rPr>
        <w:t>Andersen, T. G., Bollerslev, T., Diebold, F. X., and Labys, P. (2003). Modeling and forecasting realized volatility. Econometrica, 71(2), 579–625.</w:t>
      </w:r>
    </w:p>
    <w:p>
      <w:pPr>
        <w:spacing w:after="20"/>
        <w:ind w:left="340" w:hanging="340"/>
        <w:jc w:val="both"/>
      </w:pPr>
      <w:r>
        <w:rPr>
          <w:sz w:val="18"/>
        </w:rPr>
        <w:t>Breiman, L. (2001). Random forests. Machine Learning, 45(1), 5–32.</w:t>
      </w:r>
    </w:p>
    <w:p>
      <w:pPr>
        <w:spacing w:after="20"/>
        <w:ind w:left="340" w:hanging="340"/>
        <w:jc w:val="both"/>
      </w:pPr>
      <w:r>
        <w:rPr>
          <w:sz w:val="18"/>
        </w:rPr>
        <w:t>Campbell, J. Y., and Thompson, S. B. (2008). Predicting excess stock returns out of sample: Can anything beat the historical average? Review of Financial Studies, 21(4), 1509–1531.</w:t>
      </w:r>
    </w:p>
    <w:p>
      <w:pPr>
        <w:spacing w:after="20"/>
        <w:ind w:left="340" w:hanging="340"/>
        <w:jc w:val="both"/>
      </w:pPr>
      <w:r>
        <w:rPr>
          <w:sz w:val="18"/>
        </w:rPr>
        <w:t>Corsi, F. (2009). A simple approximate long-memory model of realized volatility. Journal of Financial Econometrics, 7(2), 174–196.</w:t>
      </w:r>
    </w:p>
    <w:p>
      <w:pPr>
        <w:spacing w:after="20"/>
        <w:ind w:left="340" w:hanging="340"/>
        <w:jc w:val="both"/>
      </w:pPr>
      <w:r>
        <w:rPr>
          <w:sz w:val="18"/>
        </w:rPr>
        <w:t>Fama, E. F. (1970). Efficient capital markets: A review of theory and empirical work. Journal of Finance, 25(2), 383–417.</w:t>
      </w:r>
    </w:p>
    <w:p>
      <w:pPr>
        <w:spacing w:after="20"/>
        <w:ind w:left="340" w:hanging="340"/>
        <w:jc w:val="both"/>
      </w:pPr>
      <w:r>
        <w:rPr>
          <w:sz w:val="18"/>
        </w:rPr>
        <w:t>Hoerl, A. E., and Kennard, R. W. (1970). Ridge regression: Biased estimation for nonorthogonal problems. Technometrics, 12(1), 55–67.</w:t>
      </w:r>
    </w:p>
    <w:p>
      <w:pPr>
        <w:spacing w:after="20"/>
        <w:ind w:left="340" w:hanging="340"/>
        <w:jc w:val="both"/>
      </w:pPr>
      <w:r>
        <w:rPr>
          <w:sz w:val="18"/>
        </w:rPr>
        <w:t>López de Prado, M. (2018). Advances in Financial Machine Learning. Wiley.</w:t>
      </w:r>
    </w:p>
    <w:p>
      <w:pPr>
        <w:spacing w:after="20"/>
        <w:ind w:left="340" w:hanging="340"/>
        <w:jc w:val="both"/>
      </w:pPr>
      <w:r>
        <w:rPr>
          <w:sz w:val="18"/>
        </w:rPr>
        <w:t>Parkinson, M. (1980). The extreme value method for estimating the variance of the rate of return. Journal of Business, 53(1), 61–65.</w:t>
      </w:r>
    </w:p>
    <w:p>
      <w:pPr>
        <w:spacing w:after="20"/>
        <w:ind w:left="340" w:hanging="340"/>
        <w:jc w:val="both"/>
      </w:pPr>
      <w:r>
        <w:rPr>
          <w:sz w:val="18"/>
        </w:rPr>
        <w:t>Pedregosa, F., et al. (2011). Scikit-learn: Machine learning in Python. Journal of Machine Learning Research, 12, 2825–2830.</w:t>
      </w:r>
    </w:p>
    <w:p>
      <w:pPr>
        <w:spacing w:after="20"/>
        <w:ind w:left="340" w:hanging="340"/>
        <w:jc w:val="both"/>
      </w:pPr>
      <w:r>
        <w:rPr>
          <w:sz w:val="18"/>
        </w:rPr>
        <w:t>Zou, H., and Hastie, T. (2005). Regularization and variable selection via the elastic net. Journal of the Royal Statistical Society: Series B, 67(2), 301–320.</w:t>
      </w:r>
    </w:p>
    <w:p>
      <w:pPr>
        <w:spacing w:after="20"/>
        <w:ind w:left="340" w:hanging="340"/>
        <w:jc w:val="both"/>
      </w:pPr>
      <w:r>
        <w:rPr>
          <w:sz w:val="18"/>
        </w:rPr>
        <w:t>Data: Tokenomist API (emission, unlock events and allocation endpoints), pulled 2026-09-14; Binance spot market data API (daily klines).</w:t>
      </w:r>
    </w:p>
    <w:p>
      <w:r>
        <w:br w:type="page"/>
      </w:r>
    </w:p>
    <w:p>
      <w:pPr>
        <w:pStyle w:val="Heading1"/>
      </w:pPr>
      <w:r>
        <w:t>Appendix (not counted toward the 7-page limit)</w:t>
      </w:r>
    </w:p>
    <w:p>
      <w:pPr>
        <w:keepNext/>
        <w:spacing w:after="40"/>
        <w:jc w:val="both"/>
      </w:pPr>
      <w:r>
        <w:rPr>
          <w:b/>
          <w:color w:val="5A6070"/>
          <w:sz w:val="18"/>
        </w:rPr>
        <w:t>Table A1. Feature and target definitions (after cleaning).</w:t>
      </w:r>
    </w:p>
    <w:tbl>
      <w:tblPr>
        <w:tblStyle w:val="TableGrid"/>
        <w:tblW w:type="auto" w:w="0"/>
        <w:jc w:val="center"/>
        <w:tblLook w:firstColumn="1" w:firstRow="1" w:lastColumn="0" w:lastRow="0" w:noHBand="0" w:noVBand="1" w:val="04A0"/>
      </w:tblPr>
      <w:tblGrid>
        <w:gridCol w:w="3213"/>
        <w:gridCol w:w="3213"/>
        <w:gridCol w:w="3213"/>
      </w:tblGrid>
      <w:tr>
        <w:tc>
          <w:tcPr>
            <w:tcW w:type="dxa" w:w="3175"/>
            <w:shd w:val="clear" w:color="auto" w:fill="1F2433"/>
          </w:tcPr>
          <w:p>
            <w:pPr>
              <w:spacing w:after="0"/>
              <w:jc w:val="left"/>
            </w:pPr>
            <w:r>
              <w:rPr>
                <w:b/>
                <w:color w:val="FFFFFF"/>
              </w:rPr>
            </w:r>
            <w:r>
              <w:rPr>
                <w:b/>
                <w:color w:val="FFFFFF"/>
                <w:sz w:val="16"/>
              </w:rPr>
              <w:t>Column</w:t>
            </w:r>
          </w:p>
        </w:tc>
        <w:tc>
          <w:tcPr>
            <w:tcW w:type="dxa" w:w="1247"/>
            <w:shd w:val="clear" w:color="auto" w:fill="1F2433"/>
          </w:tcPr>
          <w:p>
            <w:pPr>
              <w:spacing w:after="0"/>
              <w:jc w:val="center"/>
            </w:pPr>
            <w:r>
              <w:rPr>
                <w:b/>
                <w:color w:val="FFFFFF"/>
              </w:rPr>
            </w:r>
            <w:r>
              <w:rPr>
                <w:b/>
                <w:color w:val="FFFFFF"/>
                <w:sz w:val="16"/>
              </w:rPr>
              <w:t>Group</w:t>
            </w:r>
          </w:p>
        </w:tc>
        <w:tc>
          <w:tcPr>
            <w:tcW w:type="dxa" w:w="5216"/>
            <w:shd w:val="clear" w:color="auto" w:fill="1F2433"/>
          </w:tcPr>
          <w:p>
            <w:pPr>
              <w:spacing w:after="0"/>
              <w:jc w:val="left"/>
            </w:pPr>
            <w:r>
              <w:rPr>
                <w:b/>
                <w:color w:val="FFFFFF"/>
              </w:rPr>
            </w:r>
            <w:r>
              <w:rPr>
                <w:b/>
                <w:color w:val="FFFFFF"/>
                <w:sz w:val="16"/>
              </w:rPr>
              <w:t>Definition</w:t>
            </w:r>
          </w:p>
        </w:tc>
      </w:tr>
      <w:tr>
        <w:tc>
          <w:tcPr>
            <w:tcW w:type="dxa" w:w="3175"/>
          </w:tcPr>
          <w:p>
            <w:pPr>
              <w:spacing w:after="0"/>
              <w:jc w:val="left"/>
            </w:pPr>
            <w:r/>
            <w:r>
              <w:rPr>
                <w:sz w:val="16"/>
              </w:rPr>
              <w:t>rv_past_7d / 14d / 30d</w:t>
            </w:r>
          </w:p>
        </w:tc>
        <w:tc>
          <w:tcPr>
            <w:tcW w:type="dxa" w:w="1247"/>
          </w:tcPr>
          <w:p>
            <w:pPr>
              <w:spacing w:after="0"/>
              <w:jc w:val="center"/>
            </w:pPr>
            <w:r/>
            <w:r>
              <w:rPr>
                <w:sz w:val="16"/>
              </w:rPr>
              <w:t>CONTROLS</w:t>
            </w:r>
          </w:p>
        </w:tc>
        <w:tc>
          <w:tcPr>
            <w:tcW w:type="dxa" w:w="5216"/>
          </w:tcPr>
          <w:p>
            <w:pPr>
              <w:spacing w:after="0"/>
              <w:jc w:val="left"/>
            </w:pPr>
            <w:r/>
            <w:r>
              <w:rPr>
                <w:sz w:val="16"/>
              </w:rPr>
              <w:t>Annualized realized vol of the last 7 / 14 / 30 daily log returns</w:t>
            </w:r>
          </w:p>
        </w:tc>
      </w:tr>
      <w:tr>
        <w:tc>
          <w:tcPr>
            <w:tcW w:type="dxa" w:w="3175"/>
            <w:shd w:val="clear" w:color="auto" w:fill="F1F3F6"/>
          </w:tcPr>
          <w:p>
            <w:pPr>
              <w:spacing w:after="0"/>
              <w:jc w:val="left"/>
            </w:pPr>
            <w:r/>
            <w:r>
              <w:rPr>
                <w:sz w:val="16"/>
              </w:rPr>
              <w:t>ret_past_7d / 30d</w:t>
            </w:r>
          </w:p>
        </w:tc>
        <w:tc>
          <w:tcPr>
            <w:tcW w:type="dxa" w:w="1247"/>
            <w:shd w:val="clear" w:color="auto" w:fill="F1F3F6"/>
          </w:tcPr>
          <w:p>
            <w:pPr>
              <w:spacing w:after="0"/>
              <w:jc w:val="center"/>
            </w:pPr>
            <w:r/>
            <w:r>
              <w:rPr>
                <w:sz w:val="16"/>
              </w:rPr>
              <w:t>CONTROLS</w:t>
            </w:r>
          </w:p>
        </w:tc>
        <w:tc>
          <w:tcPr>
            <w:tcW w:type="dxa" w:w="5216"/>
            <w:shd w:val="clear" w:color="auto" w:fill="F1F3F6"/>
          </w:tcPr>
          <w:p>
            <w:pPr>
              <w:spacing w:after="0"/>
              <w:jc w:val="left"/>
            </w:pPr>
            <w:r/>
            <w:r>
              <w:rPr>
                <w:sz w:val="16"/>
              </w:rPr>
              <w:t>Trailing 7 / 30-day log return</w:t>
            </w:r>
          </w:p>
        </w:tc>
      </w:tr>
      <w:tr>
        <w:tc>
          <w:tcPr>
            <w:tcW w:type="dxa" w:w="3175"/>
          </w:tcPr>
          <w:p>
            <w:pPr>
              <w:spacing w:after="0"/>
              <w:jc w:val="left"/>
            </w:pPr>
            <w:r/>
            <w:r>
              <w:rPr>
                <w:sz w:val="16"/>
              </w:rPr>
              <w:t>btc_rv_past_14d, eth_rv_past_14d</w:t>
            </w:r>
          </w:p>
        </w:tc>
        <w:tc>
          <w:tcPr>
            <w:tcW w:type="dxa" w:w="1247"/>
          </w:tcPr>
          <w:p>
            <w:pPr>
              <w:spacing w:after="0"/>
              <w:jc w:val="center"/>
            </w:pPr>
            <w:r/>
            <w:r>
              <w:rPr>
                <w:sz w:val="16"/>
              </w:rPr>
              <w:t>CONTROLS</w:t>
            </w:r>
          </w:p>
        </w:tc>
        <w:tc>
          <w:tcPr>
            <w:tcW w:type="dxa" w:w="5216"/>
          </w:tcPr>
          <w:p>
            <w:pPr>
              <w:spacing w:after="0"/>
              <w:jc w:val="left"/>
            </w:pPr>
            <w:r/>
            <w:r>
              <w:rPr>
                <w:sz w:val="16"/>
              </w:rPr>
              <w:t>14-day realized vol of BTC and ETH (market regime)</w:t>
            </w:r>
          </w:p>
        </w:tc>
      </w:tr>
      <w:tr>
        <w:tc>
          <w:tcPr>
            <w:tcW w:type="dxa" w:w="3175"/>
            <w:shd w:val="clear" w:color="auto" w:fill="F1F3F6"/>
          </w:tcPr>
          <w:p>
            <w:pPr>
              <w:spacing w:after="0"/>
              <w:jc w:val="left"/>
            </w:pPr>
            <w:r/>
            <w:r>
              <w:rPr>
                <w:sz w:val="16"/>
              </w:rPr>
              <w:t>log_mcap_pit</w:t>
            </w:r>
          </w:p>
        </w:tc>
        <w:tc>
          <w:tcPr>
            <w:tcW w:type="dxa" w:w="1247"/>
            <w:shd w:val="clear" w:color="auto" w:fill="F1F3F6"/>
          </w:tcPr>
          <w:p>
            <w:pPr>
              <w:spacing w:after="0"/>
              <w:jc w:val="center"/>
            </w:pPr>
            <w:r/>
            <w:r>
              <w:rPr>
                <w:sz w:val="16"/>
              </w:rPr>
              <w:t>CONTROLS</w:t>
            </w:r>
          </w:p>
        </w:tc>
        <w:tc>
          <w:tcPr>
            <w:tcW w:type="dxa" w:w="5216"/>
            <w:shd w:val="clear" w:color="auto" w:fill="F1F3F6"/>
          </w:tcPr>
          <w:p>
            <w:pPr>
              <w:spacing w:after="0"/>
              <w:jc w:val="left"/>
            </w:pPr>
            <w:r/>
            <w:r>
              <w:rPr>
                <w:sz w:val="16"/>
              </w:rPr>
              <w:t>Log point-in-time market cap (close price × point-in-time float)</w:t>
            </w:r>
          </w:p>
        </w:tc>
      </w:tr>
      <w:tr>
        <w:tc>
          <w:tcPr>
            <w:tcW w:type="dxa" w:w="3175"/>
          </w:tcPr>
          <w:p>
            <w:pPr>
              <w:spacing w:after="0"/>
              <w:jc w:val="left"/>
            </w:pPr>
            <w:r/>
            <w:r>
              <w:rPr>
                <w:sz w:val="16"/>
              </w:rPr>
              <w:t>days_since_tge</w:t>
            </w:r>
          </w:p>
        </w:tc>
        <w:tc>
          <w:tcPr>
            <w:tcW w:type="dxa" w:w="1247"/>
          </w:tcPr>
          <w:p>
            <w:pPr>
              <w:spacing w:after="0"/>
              <w:jc w:val="center"/>
            </w:pPr>
            <w:r/>
            <w:r>
              <w:rPr>
                <w:sz w:val="16"/>
              </w:rPr>
              <w:t>CONTROLS</w:t>
            </w:r>
          </w:p>
        </w:tc>
        <w:tc>
          <w:tcPr>
            <w:tcW w:type="dxa" w:w="5216"/>
          </w:tcPr>
          <w:p>
            <w:pPr>
              <w:spacing w:after="0"/>
              <w:jc w:val="left"/>
            </w:pPr>
            <w:r/>
            <w:r>
              <w:rPr>
                <w:sz w:val="16"/>
              </w:rPr>
              <w:t>Days since launch proxy (first candle or first emission)</w:t>
            </w:r>
          </w:p>
        </w:tc>
      </w:tr>
      <w:tr>
        <w:tc>
          <w:tcPr>
            <w:tcW w:type="dxa" w:w="3175"/>
            <w:shd w:val="clear" w:color="auto" w:fill="F1F3F6"/>
          </w:tcPr>
          <w:p>
            <w:pPr>
              <w:spacing w:after="0"/>
              <w:jc w:val="left"/>
            </w:pPr>
            <w:r/>
            <w:r>
              <w:rPr>
                <w:sz w:val="16"/>
              </w:rPr>
              <w:t>emis_next_7d/30d/90d_pct_float</w:t>
            </w:r>
          </w:p>
        </w:tc>
        <w:tc>
          <w:tcPr>
            <w:tcW w:type="dxa" w:w="1247"/>
            <w:shd w:val="clear" w:color="auto" w:fill="F1F3F6"/>
          </w:tcPr>
          <w:p>
            <w:pPr>
              <w:spacing w:after="0"/>
              <w:jc w:val="center"/>
            </w:pPr>
            <w:r/>
            <w:r>
              <w:rPr>
                <w:sz w:val="16"/>
              </w:rPr>
              <w:t>EMISSION</w:t>
            </w:r>
          </w:p>
        </w:tc>
        <w:tc>
          <w:tcPr>
            <w:tcW w:type="dxa" w:w="5216"/>
            <w:shd w:val="clear" w:color="auto" w:fill="F1F3F6"/>
          </w:tcPr>
          <w:p>
            <w:pPr>
              <w:spacing w:after="0"/>
              <w:jc w:val="left"/>
            </w:pPr>
            <w:r/>
            <w:r>
              <w:rPr>
                <w:sz w:val="16"/>
              </w:rPr>
              <w:t>Tokens unlocking in next 7/30/90 days ÷ current float (log1p)</w:t>
            </w:r>
          </w:p>
        </w:tc>
      </w:tr>
      <w:tr>
        <w:tc>
          <w:tcPr>
            <w:tcW w:type="dxa" w:w="3175"/>
          </w:tcPr>
          <w:p>
            <w:pPr>
              <w:spacing w:after="0"/>
              <w:jc w:val="left"/>
            </w:pPr>
            <w:r/>
            <w:r>
              <w:rPr>
                <w:sz w:val="16"/>
              </w:rPr>
              <w:t>emis_next_30d_pct_total</w:t>
            </w:r>
          </w:p>
        </w:tc>
        <w:tc>
          <w:tcPr>
            <w:tcW w:type="dxa" w:w="1247"/>
          </w:tcPr>
          <w:p>
            <w:pPr>
              <w:spacing w:after="0"/>
              <w:jc w:val="center"/>
            </w:pPr>
            <w:r/>
            <w:r>
              <w:rPr>
                <w:sz w:val="16"/>
              </w:rPr>
              <w:t>EMISSION</w:t>
            </w:r>
          </w:p>
        </w:tc>
        <w:tc>
          <w:tcPr>
            <w:tcW w:type="dxa" w:w="5216"/>
          </w:tcPr>
          <w:p>
            <w:pPr>
              <w:spacing w:after="0"/>
              <w:jc w:val="left"/>
            </w:pPr>
            <w:r/>
            <w:r>
              <w:rPr>
                <w:sz w:val="16"/>
              </w:rPr>
              <w:t>Next-30-day unlocks ÷ total supply</w:t>
            </w:r>
          </w:p>
        </w:tc>
      </w:tr>
      <w:tr>
        <w:tc>
          <w:tcPr>
            <w:tcW w:type="dxa" w:w="3175"/>
            <w:shd w:val="clear" w:color="auto" w:fill="F1F3F6"/>
          </w:tcPr>
          <w:p>
            <w:pPr>
              <w:spacing w:after="0"/>
              <w:jc w:val="left"/>
            </w:pPr>
            <w:r/>
            <w:r>
              <w:rPr>
                <w:sz w:val="16"/>
              </w:rPr>
              <w:t>days_to_next_cliff</w:t>
            </w:r>
          </w:p>
        </w:tc>
        <w:tc>
          <w:tcPr>
            <w:tcW w:type="dxa" w:w="1247"/>
            <w:shd w:val="clear" w:color="auto" w:fill="F1F3F6"/>
          </w:tcPr>
          <w:p>
            <w:pPr>
              <w:spacing w:after="0"/>
              <w:jc w:val="center"/>
            </w:pPr>
            <w:r/>
            <w:r>
              <w:rPr>
                <w:sz w:val="16"/>
              </w:rPr>
              <w:t>EMISSION</w:t>
            </w:r>
          </w:p>
        </w:tc>
        <w:tc>
          <w:tcPr>
            <w:tcW w:type="dxa" w:w="5216"/>
            <w:shd w:val="clear" w:color="auto" w:fill="F1F3F6"/>
          </w:tcPr>
          <w:p>
            <w:pPr>
              <w:spacing w:after="0"/>
              <w:jc w:val="left"/>
            </w:pPr>
            <w:r/>
            <w:r>
              <w:rPr>
                <w:sz w:val="16"/>
              </w:rPr>
              <w:t>Days to next cliff unlock (365 if none)</w:t>
            </w:r>
          </w:p>
        </w:tc>
      </w:tr>
      <w:tr>
        <w:tc>
          <w:tcPr>
            <w:tcW w:type="dxa" w:w="3175"/>
          </w:tcPr>
          <w:p>
            <w:pPr>
              <w:spacing w:after="0"/>
              <w:jc w:val="left"/>
            </w:pPr>
            <w:r/>
            <w:r>
              <w:rPr>
                <w:sz w:val="16"/>
              </w:rPr>
              <w:t>next_cliff_pct_float</w:t>
            </w:r>
          </w:p>
        </w:tc>
        <w:tc>
          <w:tcPr>
            <w:tcW w:type="dxa" w:w="1247"/>
          </w:tcPr>
          <w:p>
            <w:pPr>
              <w:spacing w:after="0"/>
              <w:jc w:val="center"/>
            </w:pPr>
            <w:r/>
            <w:r>
              <w:rPr>
                <w:sz w:val="16"/>
              </w:rPr>
              <w:t>EMISSION</w:t>
            </w:r>
          </w:p>
        </w:tc>
        <w:tc>
          <w:tcPr>
            <w:tcW w:type="dxa" w:w="5216"/>
          </w:tcPr>
          <w:p>
            <w:pPr>
              <w:spacing w:after="0"/>
              <w:jc w:val="left"/>
            </w:pPr>
            <w:r/>
            <w:r>
              <w:rPr>
                <w:sz w:val="16"/>
              </w:rPr>
              <w:t>Size of next cliff ÷ float (log1p, 0 if none)</w:t>
            </w:r>
          </w:p>
        </w:tc>
      </w:tr>
      <w:tr>
        <w:tc>
          <w:tcPr>
            <w:tcW w:type="dxa" w:w="3175"/>
            <w:shd w:val="clear" w:color="auto" w:fill="F1F3F6"/>
          </w:tcPr>
          <w:p>
            <w:pPr>
              <w:spacing w:after="0"/>
              <w:jc w:val="left"/>
            </w:pPr>
            <w:r/>
            <w:r>
              <w:rPr>
                <w:sz w:val="16"/>
              </w:rPr>
              <w:t>has_unlock_events</w:t>
            </w:r>
          </w:p>
        </w:tc>
        <w:tc>
          <w:tcPr>
            <w:tcW w:type="dxa" w:w="1247"/>
            <w:shd w:val="clear" w:color="auto" w:fill="F1F3F6"/>
          </w:tcPr>
          <w:p>
            <w:pPr>
              <w:spacing w:after="0"/>
              <w:jc w:val="center"/>
            </w:pPr>
            <w:r/>
            <w:r>
              <w:rPr>
                <w:sz w:val="16"/>
              </w:rPr>
              <w:t>EMISSION</w:t>
            </w:r>
          </w:p>
        </w:tc>
        <w:tc>
          <w:tcPr>
            <w:tcW w:type="dxa" w:w="5216"/>
            <w:shd w:val="clear" w:color="auto" w:fill="F1F3F6"/>
          </w:tcPr>
          <w:p>
            <w:pPr>
              <w:spacing w:after="0"/>
              <w:jc w:val="left"/>
            </w:pPr>
            <w:r/>
            <w:r>
              <w:rPr>
                <w:sz w:val="16"/>
              </w:rPr>
              <w:t>Token has at least one cliff event</w:t>
            </w:r>
          </w:p>
        </w:tc>
      </w:tr>
      <w:tr>
        <w:tc>
          <w:tcPr>
            <w:tcW w:type="dxa" w:w="3175"/>
          </w:tcPr>
          <w:p>
            <w:pPr>
              <w:spacing w:after="0"/>
              <w:jc w:val="left"/>
            </w:pPr>
            <w:r/>
            <w:r>
              <w:rPr>
                <w:sz w:val="16"/>
              </w:rPr>
              <w:t>emis_next_30d_&lt;group&gt;_pct_float (6)</w:t>
            </w:r>
          </w:p>
        </w:tc>
        <w:tc>
          <w:tcPr>
            <w:tcW w:type="dxa" w:w="1247"/>
          </w:tcPr>
          <w:p>
            <w:pPr>
              <w:spacing w:after="0"/>
              <w:jc w:val="center"/>
            </w:pPr>
            <w:r/>
            <w:r>
              <w:rPr>
                <w:sz w:val="16"/>
              </w:rPr>
              <w:t>EMISSION</w:t>
            </w:r>
          </w:p>
        </w:tc>
        <w:tc>
          <w:tcPr>
            <w:tcW w:type="dxa" w:w="5216"/>
          </w:tcPr>
          <w:p>
            <w:pPr>
              <w:spacing w:after="0"/>
              <w:jc w:val="left"/>
            </w:pPr>
            <w:r/>
            <w:r>
              <w:rPr>
                <w:sz w:val="16"/>
              </w:rPr>
              <w:t>Next-30-day unlocks to founders/team, private investors, community, public investors, reserve, others</w:t>
            </w:r>
          </w:p>
        </w:tc>
      </w:tr>
      <w:tr>
        <w:tc>
          <w:tcPr>
            <w:tcW w:type="dxa" w:w="3175"/>
            <w:shd w:val="clear" w:color="auto" w:fill="F1F3F6"/>
          </w:tcPr>
          <w:p>
            <w:pPr>
              <w:spacing w:after="0"/>
              <w:jc w:val="left"/>
            </w:pPr>
            <w:r/>
            <w:r>
              <w:rPr>
                <w:sz w:val="16"/>
              </w:rPr>
              <w:t>alloc_share_&lt;group&gt; (6)</w:t>
            </w:r>
          </w:p>
        </w:tc>
        <w:tc>
          <w:tcPr>
            <w:tcW w:type="dxa" w:w="1247"/>
            <w:shd w:val="clear" w:color="auto" w:fill="F1F3F6"/>
          </w:tcPr>
          <w:p>
            <w:pPr>
              <w:spacing w:after="0"/>
              <w:jc w:val="center"/>
            </w:pPr>
            <w:r/>
            <w:r>
              <w:rPr>
                <w:sz w:val="16"/>
              </w:rPr>
              <w:t>STATIC</w:t>
            </w:r>
          </w:p>
        </w:tc>
        <w:tc>
          <w:tcPr>
            <w:tcW w:type="dxa" w:w="5216"/>
            <w:shd w:val="clear" w:color="auto" w:fill="F1F3F6"/>
          </w:tcPr>
          <w:p>
            <w:pPr>
              <w:spacing w:after="0"/>
              <w:jc w:val="left"/>
            </w:pPr>
            <w:r/>
            <w:r>
              <w:rPr>
                <w:sz w:val="16"/>
              </w:rPr>
              <w:t>Share of total allocation to each of the six recipient groups</w:t>
            </w:r>
          </w:p>
        </w:tc>
      </w:tr>
      <w:tr>
        <w:tc>
          <w:tcPr>
            <w:tcW w:type="dxa" w:w="3175"/>
          </w:tcPr>
          <w:p>
            <w:pPr>
              <w:spacing w:after="0"/>
              <w:jc w:val="left"/>
            </w:pPr>
            <w:r/>
            <w:r>
              <w:rPr>
                <w:sz w:val="16"/>
              </w:rPr>
              <w:t>listedMethod (3 one-hots)</w:t>
            </w:r>
          </w:p>
        </w:tc>
        <w:tc>
          <w:tcPr>
            <w:tcW w:type="dxa" w:w="1247"/>
          </w:tcPr>
          <w:p>
            <w:pPr>
              <w:spacing w:after="0"/>
              <w:jc w:val="center"/>
            </w:pPr>
            <w:r/>
            <w:r>
              <w:rPr>
                <w:sz w:val="16"/>
              </w:rPr>
              <w:t>STATIC</w:t>
            </w:r>
          </w:p>
        </w:tc>
        <w:tc>
          <w:tcPr>
            <w:tcW w:type="dxa" w:w="5216"/>
          </w:tcPr>
          <w:p>
            <w:pPr>
              <w:spacing w:after="0"/>
              <w:jc w:val="left"/>
            </w:pPr>
            <w:r/>
            <w:r>
              <w:rPr>
                <w:sz w:val="16"/>
              </w:rPr>
              <w:t>How Tokenomist curates the schedule: INTERNAL, AI, EXTERNAL</w:t>
            </w:r>
          </w:p>
        </w:tc>
      </w:tr>
      <w:tr>
        <w:tc>
          <w:tcPr>
            <w:tcW w:type="dxa" w:w="3175"/>
            <w:shd w:val="clear" w:color="auto" w:fill="F1F3F6"/>
          </w:tcPr>
          <w:p>
            <w:pPr>
              <w:spacing w:after="0"/>
              <w:jc w:val="left"/>
            </w:pPr>
            <w:r/>
            <w:r>
              <w:rPr>
                <w:sz w:val="16"/>
              </w:rPr>
              <w:t>unlockPrecision_ord</w:t>
            </w:r>
          </w:p>
        </w:tc>
        <w:tc>
          <w:tcPr>
            <w:tcW w:type="dxa" w:w="1247"/>
            <w:shd w:val="clear" w:color="auto" w:fill="F1F3F6"/>
          </w:tcPr>
          <w:p>
            <w:pPr>
              <w:spacing w:after="0"/>
              <w:jc w:val="center"/>
            </w:pPr>
            <w:r/>
            <w:r>
              <w:rPr>
                <w:sz w:val="16"/>
              </w:rPr>
              <w:t>STATIC</w:t>
            </w:r>
          </w:p>
        </w:tc>
        <w:tc>
          <w:tcPr>
            <w:tcW w:type="dxa" w:w="5216"/>
            <w:shd w:val="clear" w:color="auto" w:fill="F1F3F6"/>
          </w:tcPr>
          <w:p>
            <w:pPr>
              <w:spacing w:after="0"/>
              <w:jc w:val="left"/>
            </w:pPr>
            <w:r/>
            <w:r>
              <w:rPr>
                <w:sz w:val="16"/>
              </w:rPr>
              <w:t>Time granularity of cliff events (second ... month), ordinal; unknown if none</w:t>
            </w:r>
          </w:p>
        </w:tc>
      </w:tr>
      <w:tr>
        <w:tc>
          <w:tcPr>
            <w:tcW w:type="dxa" w:w="3175"/>
          </w:tcPr>
          <w:p>
            <w:pPr>
              <w:spacing w:after="0"/>
              <w:jc w:val="left"/>
            </w:pPr>
            <w:r/>
            <w:r>
              <w:rPr>
                <w:sz w:val="16"/>
              </w:rPr>
              <w:t>log rv_fwd_14d (y)</w:t>
            </w:r>
          </w:p>
        </w:tc>
        <w:tc>
          <w:tcPr>
            <w:tcW w:type="dxa" w:w="1247"/>
          </w:tcPr>
          <w:p>
            <w:pPr>
              <w:spacing w:after="0"/>
              <w:jc w:val="center"/>
            </w:pPr>
            <w:r/>
            <w:r>
              <w:rPr>
                <w:sz w:val="16"/>
              </w:rPr>
              <w:t>TARGET</w:t>
            </w:r>
          </w:p>
        </w:tc>
        <w:tc>
          <w:tcPr>
            <w:tcW w:type="dxa" w:w="5216"/>
          </w:tcPr>
          <w:p>
            <w:pPr>
              <w:spacing w:after="0"/>
              <w:jc w:val="left"/>
            </w:pPr>
            <w:r/>
            <w:r>
              <w:rPr>
                <w:sz w:val="16"/>
              </w:rPr>
              <w:t>Primary target; robustness: log rv_fwd_7d, rv_fwd_30d, Parkinson 14d</w:t>
            </w:r>
          </w:p>
        </w:tc>
      </w:tr>
    </w:tbl>
    <w:p>
      <w:pPr>
        <w:spacing w:after="40"/>
      </w:pPr>
    </w:p>
    <w:p>
      <w:pPr>
        <w:keepNext/>
        <w:spacing w:after="40"/>
        <w:jc w:val="both"/>
      </w:pPr>
      <w:r>
        <w:rPr>
          <w:b/>
          <w:color w:val="5A6070"/>
          <w:sz w:val="18"/>
        </w:rPr>
        <w:t>Table A2. Robustness: mean R²oos over 5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494"/>
            <w:shd w:val="clear" w:color="auto" w:fill="1F2433"/>
          </w:tcPr>
          <w:p>
            <w:pPr>
              <w:spacing w:after="0"/>
              <w:jc w:val="left"/>
            </w:pPr>
            <w:r>
              <w:rPr>
                <w:b/>
                <w:color w:val="FFFFFF"/>
              </w:rPr>
            </w:r>
            <w:r>
              <w:rPr>
                <w:b/>
                <w:color w:val="FFFFFF"/>
                <w:sz w:val="16"/>
              </w:rPr>
              <w:t>Specification</w:t>
            </w:r>
          </w:p>
        </w:tc>
        <w:tc>
          <w:tcPr>
            <w:tcW w:type="dxa" w:w="1701"/>
            <w:shd w:val="clear" w:color="auto" w:fill="1F2433"/>
          </w:tcPr>
          <w:p>
            <w:pPr>
              <w:spacing w:after="0"/>
              <w:jc w:val="center"/>
            </w:pPr>
            <w:r>
              <w:rPr>
                <w:b/>
                <w:color w:val="FFFFFF"/>
              </w:rPr>
            </w:r>
            <w:r>
              <w:rPr>
                <w:b/>
                <w:color w:val="FFFFFF"/>
                <w:sz w:val="16"/>
              </w:rPr>
              <w:t>Model</w:t>
            </w:r>
          </w:p>
        </w:tc>
        <w:tc>
          <w:tcPr>
            <w:tcW w:type="dxa" w:w="1247"/>
            <w:shd w:val="clear" w:color="auto" w:fill="1F2433"/>
          </w:tcPr>
          <w:p>
            <w:pPr>
              <w:spacing w:after="0"/>
              <w:jc w:val="center"/>
            </w:pPr>
            <w:r>
              <w:rPr>
                <w:b/>
                <w:color w:val="FFFFFF"/>
              </w:rPr>
            </w:r>
            <w:r>
              <w:rPr>
                <w:b/>
                <w:color w:val="FFFFFF"/>
                <w:sz w:val="16"/>
              </w:rPr>
              <w:t>R²oos CTRL</w:t>
            </w:r>
          </w:p>
        </w:tc>
        <w:tc>
          <w:tcPr>
            <w:tcW w:type="dxa" w:w="1247"/>
            <w:shd w:val="clear" w:color="auto" w:fill="1F2433"/>
          </w:tcPr>
          <w:p>
            <w:pPr>
              <w:spacing w:after="0"/>
              <w:jc w:val="center"/>
            </w:pPr>
            <w:r>
              <w:rPr>
                <w:b/>
                <w:color w:val="FFFFFF"/>
              </w:rPr>
            </w:r>
            <w:r>
              <w:rPr>
                <w:b/>
                <w:color w:val="FFFFFF"/>
                <w:sz w:val="16"/>
              </w:rPr>
              <w:t>R²oos FULL</w:t>
            </w:r>
          </w:p>
        </w:tc>
        <w:tc>
          <w:tcPr>
            <w:tcW w:type="dxa" w:w="1020"/>
            <w:shd w:val="clear" w:color="auto" w:fill="1F2433"/>
          </w:tcPr>
          <w:p>
            <w:pPr>
              <w:spacing w:after="0"/>
              <w:jc w:val="center"/>
            </w:pPr>
            <w:r>
              <w:rPr>
                <w:b/>
                <w:color w:val="FFFFFF"/>
              </w:rPr>
            </w:r>
            <w:r>
              <w:rPr>
                <w:b/>
                <w:color w:val="FFFFFF"/>
                <w:sz w:val="16"/>
              </w:rPr>
              <w:t>Δ</w:t>
            </w:r>
          </w:p>
        </w:tc>
        <w:tc>
          <w:tcPr>
            <w:tcW w:type="dxa" w:w="1020"/>
            <w:shd w:val="clear" w:color="auto" w:fill="1F2433"/>
          </w:tcPr>
          <w:p>
            <w:pPr>
              <w:spacing w:after="0"/>
              <w:jc w:val="center"/>
            </w:pPr>
            <w:r>
              <w:rPr>
                <w:b/>
                <w:color w:val="FFFFFF"/>
              </w:rPr>
            </w:r>
            <w:r>
              <w:rPr>
                <w:b/>
                <w:color w:val="FFFFFF"/>
                <w:sz w:val="16"/>
              </w:rPr>
              <w:t>FULL wins</w:t>
            </w:r>
          </w:p>
        </w:tc>
      </w:tr>
      <w:tr>
        <w:tc>
          <w:tcPr>
            <w:tcW w:type="dxa" w:w="2494"/>
          </w:tcPr>
          <w:p>
            <w:pPr>
              <w:spacing w:after="0"/>
              <w:jc w:val="left"/>
            </w:pPr>
            <w:r/>
            <w:r>
              <w:rPr>
                <w:sz w:val="16"/>
              </w:rPr>
              <w:t>Daily, all tokens (main)</w:t>
            </w:r>
          </w:p>
        </w:tc>
        <w:tc>
          <w:tcPr>
            <w:tcW w:type="dxa" w:w="1701"/>
          </w:tcPr>
          <w:p>
            <w:pPr>
              <w:spacing w:after="0"/>
              <w:jc w:val="center"/>
            </w:pPr>
            <w:r/>
            <w:r>
              <w:rPr>
                <w:sz w:val="16"/>
              </w:rPr>
              <w:t>KNN</w:t>
            </w:r>
          </w:p>
        </w:tc>
        <w:tc>
          <w:tcPr>
            <w:tcW w:type="dxa" w:w="1247"/>
          </w:tcPr>
          <w:p>
            <w:pPr>
              <w:spacing w:after="0"/>
              <w:jc w:val="center"/>
            </w:pPr>
            <w:r/>
            <w:r>
              <w:rPr>
                <w:sz w:val="16"/>
              </w:rPr>
              <w:t>0.234</w:t>
            </w:r>
          </w:p>
        </w:tc>
        <w:tc>
          <w:tcPr>
            <w:tcW w:type="dxa" w:w="1247"/>
          </w:tcPr>
          <w:p>
            <w:pPr>
              <w:spacing w:after="0"/>
              <w:jc w:val="center"/>
            </w:pPr>
            <w:r/>
            <w:r>
              <w:rPr>
                <w:sz w:val="16"/>
              </w:rPr>
              <w:t>0.235</w:t>
            </w:r>
          </w:p>
        </w:tc>
        <w:tc>
          <w:tcPr>
            <w:tcW w:type="dxa" w:w="1020"/>
          </w:tcPr>
          <w:p>
            <w:pPr>
              <w:spacing w:after="0"/>
              <w:jc w:val="center"/>
            </w:pPr>
            <w:r/>
            <w:r>
              <w:rPr>
                <w:sz w:val="16"/>
              </w:rPr>
              <w:t>+0.001</w:t>
            </w:r>
          </w:p>
        </w:tc>
        <w:tc>
          <w:tcPr>
            <w:tcW w:type="dxa" w:w="1020"/>
          </w:tcPr>
          <w:p>
            <w:pPr>
              <w:spacing w:after="0"/>
              <w:jc w:val="center"/>
            </w:pPr>
            <w:r/>
            <w:r>
              <w:rPr>
                <w:sz w:val="16"/>
              </w:rPr>
              <w:t>2/5</w:t>
            </w:r>
          </w:p>
        </w:tc>
      </w:tr>
      <w:tr>
        <w:tc>
          <w:tcPr>
            <w:tcW w:type="dxa" w:w="2494"/>
            <w:shd w:val="clear" w:color="auto" w:fill="F1F3F6"/>
          </w:tcPr>
          <w:p>
            <w:pPr>
              <w:spacing w:after="0"/>
              <w:jc w:val="left"/>
            </w:pPr>
            <w:r/>
            <w:r>
              <w:rPr>
                <w:sz w:val="16"/>
              </w:rPr>
              <w:t>Daily, all tokens (main)</w:t>
            </w:r>
          </w:p>
        </w:tc>
        <w:tc>
          <w:tcPr>
            <w:tcW w:type="dxa" w:w="1701"/>
            <w:shd w:val="clear" w:color="auto" w:fill="F1F3F6"/>
          </w:tcPr>
          <w:p>
            <w:pPr>
              <w:spacing w:after="0"/>
              <w:jc w:val="center"/>
            </w:pPr>
            <w:r/>
            <w:r>
              <w:rPr>
                <w:sz w:val="16"/>
              </w:rPr>
              <w:t>Random Forest</w:t>
            </w:r>
          </w:p>
        </w:tc>
        <w:tc>
          <w:tcPr>
            <w:tcW w:type="dxa" w:w="1247"/>
            <w:shd w:val="clear" w:color="auto" w:fill="F1F3F6"/>
          </w:tcPr>
          <w:p>
            <w:pPr>
              <w:spacing w:after="0"/>
              <w:jc w:val="center"/>
            </w:pPr>
            <w:r/>
            <w:r>
              <w:rPr>
                <w:sz w:val="16"/>
              </w:rPr>
              <w:t>0.262</w:t>
            </w:r>
          </w:p>
        </w:tc>
        <w:tc>
          <w:tcPr>
            <w:tcW w:type="dxa" w:w="1247"/>
            <w:shd w:val="clear" w:color="auto" w:fill="F1F3F6"/>
          </w:tcPr>
          <w:p>
            <w:pPr>
              <w:spacing w:after="0"/>
              <w:jc w:val="center"/>
            </w:pPr>
            <w:r/>
            <w:r>
              <w:rPr>
                <w:sz w:val="16"/>
              </w:rPr>
              <w:t>0.268</w:t>
            </w:r>
          </w:p>
        </w:tc>
        <w:tc>
          <w:tcPr>
            <w:tcW w:type="dxa" w:w="1020"/>
            <w:shd w:val="clear" w:color="auto" w:fill="F1F3F6"/>
          </w:tcPr>
          <w:p>
            <w:pPr>
              <w:spacing w:after="0"/>
              <w:jc w:val="center"/>
            </w:pPr>
            <w:r/>
            <w:r>
              <w:rPr>
                <w:sz w:val="16"/>
              </w:rPr>
              <w:t>+0.006</w:t>
            </w:r>
          </w:p>
        </w:tc>
        <w:tc>
          <w:tcPr>
            <w:tcW w:type="dxa" w:w="1020"/>
            <w:shd w:val="clear" w:color="auto" w:fill="F1F3F6"/>
          </w:tcPr>
          <w:p>
            <w:pPr>
              <w:spacing w:after="0"/>
              <w:jc w:val="center"/>
            </w:pPr>
            <w:r/>
            <w:r>
              <w:rPr>
                <w:sz w:val="16"/>
              </w:rPr>
              <w:t>2/5</w:t>
            </w:r>
          </w:p>
        </w:tc>
      </w:tr>
      <w:tr>
        <w:tc>
          <w:tcPr>
            <w:tcW w:type="dxa" w:w="2494"/>
          </w:tcPr>
          <w:p>
            <w:pPr>
              <w:spacing w:after="0"/>
              <w:jc w:val="left"/>
            </w:pPr>
            <w:r/>
            <w:r>
              <w:rPr>
                <w:sz w:val="16"/>
              </w:rPr>
              <w:t>Daily, all tokens (main)</w:t>
            </w:r>
          </w:p>
        </w:tc>
        <w:tc>
          <w:tcPr>
            <w:tcW w:type="dxa" w:w="1701"/>
          </w:tcPr>
          <w:p>
            <w:pPr>
              <w:spacing w:after="0"/>
              <w:jc w:val="center"/>
            </w:pPr>
            <w:r/>
            <w:r>
              <w:rPr>
                <w:sz w:val="16"/>
              </w:rPr>
              <w:t>Ridge</w:t>
            </w:r>
          </w:p>
        </w:tc>
        <w:tc>
          <w:tcPr>
            <w:tcW w:type="dxa" w:w="1247"/>
          </w:tcPr>
          <w:p>
            <w:pPr>
              <w:spacing w:after="0"/>
              <w:jc w:val="center"/>
            </w:pPr>
            <w:r/>
            <w:r>
              <w:rPr>
                <w:sz w:val="16"/>
              </w:rPr>
              <w:t>0.266</w:t>
            </w:r>
          </w:p>
        </w:tc>
        <w:tc>
          <w:tcPr>
            <w:tcW w:type="dxa" w:w="1247"/>
          </w:tcPr>
          <w:p>
            <w:pPr>
              <w:spacing w:after="0"/>
              <w:jc w:val="center"/>
            </w:pPr>
            <w:r/>
            <w:r>
              <w:rPr>
                <w:sz w:val="16"/>
              </w:rPr>
              <w:t>0.266</w:t>
            </w:r>
          </w:p>
        </w:tc>
        <w:tc>
          <w:tcPr>
            <w:tcW w:type="dxa" w:w="1020"/>
          </w:tcPr>
          <w:p>
            <w:pPr>
              <w:spacing w:after="0"/>
              <w:jc w:val="center"/>
            </w:pPr>
            <w:r/>
            <w:r>
              <w:rPr>
                <w:sz w:val="16"/>
              </w:rPr>
              <w:t>+0.001</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Daily, all tokens (main)</w:t>
            </w:r>
          </w:p>
        </w:tc>
        <w:tc>
          <w:tcPr>
            <w:tcW w:type="dxa" w:w="1701"/>
            <w:shd w:val="clear" w:color="auto" w:fill="F1F3F6"/>
          </w:tcPr>
          <w:p>
            <w:pPr>
              <w:spacing w:after="0"/>
              <w:jc w:val="center"/>
            </w:pPr>
            <w:r/>
            <w:r>
              <w:rPr>
                <w:sz w:val="16"/>
              </w:rPr>
              <w:t>Elastic Net</w:t>
            </w:r>
          </w:p>
        </w:tc>
        <w:tc>
          <w:tcPr>
            <w:tcW w:type="dxa" w:w="1247"/>
            <w:shd w:val="clear" w:color="auto" w:fill="F1F3F6"/>
          </w:tcPr>
          <w:p>
            <w:pPr>
              <w:spacing w:after="0"/>
              <w:jc w:val="center"/>
            </w:pPr>
            <w:r/>
            <w:r>
              <w:rPr>
                <w:sz w:val="16"/>
              </w:rPr>
              <w:t>0.254</w:t>
            </w:r>
          </w:p>
        </w:tc>
        <w:tc>
          <w:tcPr>
            <w:tcW w:type="dxa" w:w="1247"/>
            <w:shd w:val="clear" w:color="auto" w:fill="F1F3F6"/>
          </w:tcPr>
          <w:p>
            <w:pPr>
              <w:spacing w:after="0"/>
              <w:jc w:val="center"/>
            </w:pPr>
            <w:r/>
            <w:r>
              <w:rPr>
                <w:sz w:val="16"/>
              </w:rPr>
              <w:t>0.255</w:t>
            </w:r>
          </w:p>
        </w:tc>
        <w:tc>
          <w:tcPr>
            <w:tcW w:type="dxa" w:w="1020"/>
            <w:shd w:val="clear" w:color="auto" w:fill="F1F3F6"/>
          </w:tcPr>
          <w:p>
            <w:pPr>
              <w:spacing w:after="0"/>
              <w:jc w:val="center"/>
            </w:pPr>
            <w:r/>
            <w:r>
              <w:rPr>
                <w:sz w:val="16"/>
              </w:rPr>
              <w:t>+0.001</w:t>
            </w:r>
          </w:p>
        </w:tc>
        <w:tc>
          <w:tcPr>
            <w:tcW w:type="dxa" w:w="1020"/>
            <w:shd w:val="clear" w:color="auto" w:fill="F1F3F6"/>
          </w:tcPr>
          <w:p>
            <w:pPr>
              <w:spacing w:after="0"/>
              <w:jc w:val="center"/>
            </w:pPr>
            <w:r/>
            <w:r>
              <w:rPr>
                <w:sz w:val="16"/>
              </w:rPr>
              <w:t>3/5</w:t>
            </w:r>
          </w:p>
        </w:tc>
      </w:tr>
      <w:tr>
        <w:tc>
          <w:tcPr>
            <w:tcW w:type="dxa" w:w="2494"/>
          </w:tcPr>
          <w:p>
            <w:pPr>
              <w:spacing w:after="0"/>
              <w:jc w:val="left"/>
            </w:pPr>
            <w:r/>
            <w:r>
              <w:rPr>
                <w:sz w:val="16"/>
              </w:rPr>
              <w:t>Weekly panel</w:t>
            </w:r>
          </w:p>
        </w:tc>
        <w:tc>
          <w:tcPr>
            <w:tcW w:type="dxa" w:w="1701"/>
          </w:tcPr>
          <w:p>
            <w:pPr>
              <w:spacing w:after="0"/>
              <w:jc w:val="center"/>
            </w:pPr>
            <w:r/>
            <w:r>
              <w:rPr>
                <w:sz w:val="16"/>
              </w:rPr>
              <w:t>KNN</w:t>
            </w:r>
          </w:p>
        </w:tc>
        <w:tc>
          <w:tcPr>
            <w:tcW w:type="dxa" w:w="1247"/>
          </w:tcPr>
          <w:p>
            <w:pPr>
              <w:spacing w:after="0"/>
              <w:jc w:val="center"/>
            </w:pPr>
            <w:r/>
            <w:r>
              <w:rPr>
                <w:sz w:val="16"/>
              </w:rPr>
              <w:t>0.232</w:t>
            </w:r>
          </w:p>
        </w:tc>
        <w:tc>
          <w:tcPr>
            <w:tcW w:type="dxa" w:w="1247"/>
          </w:tcPr>
          <w:p>
            <w:pPr>
              <w:spacing w:after="0"/>
              <w:jc w:val="center"/>
            </w:pPr>
            <w:r/>
            <w:r>
              <w:rPr>
                <w:sz w:val="16"/>
              </w:rPr>
              <w:t>0.224</w:t>
            </w:r>
          </w:p>
        </w:tc>
        <w:tc>
          <w:tcPr>
            <w:tcW w:type="dxa" w:w="1020"/>
          </w:tcPr>
          <w:p>
            <w:pPr>
              <w:spacing w:after="0"/>
              <w:jc w:val="center"/>
            </w:pPr>
            <w:r/>
            <w:r>
              <w:rPr>
                <w:sz w:val="16"/>
              </w:rPr>
              <w:t>-0.008</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Weekly panel</w:t>
            </w:r>
          </w:p>
        </w:tc>
        <w:tc>
          <w:tcPr>
            <w:tcW w:type="dxa" w:w="1701"/>
            <w:shd w:val="clear" w:color="auto" w:fill="F1F3F6"/>
          </w:tcPr>
          <w:p>
            <w:pPr>
              <w:spacing w:after="0"/>
              <w:jc w:val="center"/>
            </w:pPr>
            <w:r/>
            <w:r>
              <w:rPr>
                <w:sz w:val="16"/>
              </w:rPr>
              <w:t>Random Forest</w:t>
            </w:r>
          </w:p>
        </w:tc>
        <w:tc>
          <w:tcPr>
            <w:tcW w:type="dxa" w:w="1247"/>
            <w:shd w:val="clear" w:color="auto" w:fill="F1F3F6"/>
          </w:tcPr>
          <w:p>
            <w:pPr>
              <w:spacing w:after="0"/>
              <w:jc w:val="center"/>
            </w:pPr>
            <w:r/>
            <w:r>
              <w:rPr>
                <w:sz w:val="16"/>
              </w:rPr>
              <w:t>0.234</w:t>
            </w:r>
          </w:p>
        </w:tc>
        <w:tc>
          <w:tcPr>
            <w:tcW w:type="dxa" w:w="1247"/>
            <w:shd w:val="clear" w:color="auto" w:fill="F1F3F6"/>
          </w:tcPr>
          <w:p>
            <w:pPr>
              <w:spacing w:after="0"/>
              <w:jc w:val="center"/>
            </w:pPr>
            <w:r/>
            <w:r>
              <w:rPr>
                <w:sz w:val="16"/>
              </w:rPr>
              <w:t>0.241</w:t>
            </w:r>
          </w:p>
        </w:tc>
        <w:tc>
          <w:tcPr>
            <w:tcW w:type="dxa" w:w="1020"/>
            <w:shd w:val="clear" w:color="auto" w:fill="F1F3F6"/>
          </w:tcPr>
          <w:p>
            <w:pPr>
              <w:spacing w:after="0"/>
              <w:jc w:val="center"/>
            </w:pPr>
            <w:r/>
            <w:r>
              <w:rPr>
                <w:sz w:val="16"/>
              </w:rPr>
              <w:t>+0.007</w:t>
            </w:r>
          </w:p>
        </w:tc>
        <w:tc>
          <w:tcPr>
            <w:tcW w:type="dxa" w:w="1020"/>
            <w:shd w:val="clear" w:color="auto" w:fill="F1F3F6"/>
          </w:tcPr>
          <w:p>
            <w:pPr>
              <w:spacing w:after="0"/>
              <w:jc w:val="center"/>
            </w:pPr>
            <w:r/>
            <w:r>
              <w:rPr>
                <w:sz w:val="16"/>
              </w:rPr>
              <w:t>2/5</w:t>
            </w:r>
          </w:p>
        </w:tc>
      </w:tr>
      <w:tr>
        <w:tc>
          <w:tcPr>
            <w:tcW w:type="dxa" w:w="2494"/>
          </w:tcPr>
          <w:p>
            <w:pPr>
              <w:spacing w:after="0"/>
              <w:jc w:val="left"/>
            </w:pPr>
            <w:r/>
            <w:r>
              <w:rPr>
                <w:sz w:val="16"/>
              </w:rPr>
              <w:t>Weekly panel</w:t>
            </w:r>
          </w:p>
        </w:tc>
        <w:tc>
          <w:tcPr>
            <w:tcW w:type="dxa" w:w="1701"/>
          </w:tcPr>
          <w:p>
            <w:pPr>
              <w:spacing w:after="0"/>
              <w:jc w:val="center"/>
            </w:pPr>
            <w:r/>
            <w:r>
              <w:rPr>
                <w:sz w:val="16"/>
              </w:rPr>
              <w:t>Ridge</w:t>
            </w:r>
          </w:p>
        </w:tc>
        <w:tc>
          <w:tcPr>
            <w:tcW w:type="dxa" w:w="1247"/>
          </w:tcPr>
          <w:p>
            <w:pPr>
              <w:spacing w:after="0"/>
              <w:jc w:val="center"/>
            </w:pPr>
            <w:r/>
            <w:r>
              <w:rPr>
                <w:sz w:val="16"/>
              </w:rPr>
              <w:t>0.269</w:t>
            </w:r>
          </w:p>
        </w:tc>
        <w:tc>
          <w:tcPr>
            <w:tcW w:type="dxa" w:w="1247"/>
          </w:tcPr>
          <w:p>
            <w:pPr>
              <w:spacing w:after="0"/>
              <w:jc w:val="center"/>
            </w:pPr>
            <w:r/>
            <w:r>
              <w:rPr>
                <w:sz w:val="16"/>
              </w:rPr>
              <w:t>0.282</w:t>
            </w:r>
          </w:p>
        </w:tc>
        <w:tc>
          <w:tcPr>
            <w:tcW w:type="dxa" w:w="1020"/>
          </w:tcPr>
          <w:p>
            <w:pPr>
              <w:spacing w:after="0"/>
              <w:jc w:val="center"/>
            </w:pPr>
            <w:r/>
            <w:r>
              <w:rPr>
                <w:sz w:val="16"/>
              </w:rPr>
              <w:t>+0.014</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Weekly panel</w:t>
            </w:r>
          </w:p>
        </w:tc>
        <w:tc>
          <w:tcPr>
            <w:tcW w:type="dxa" w:w="1701"/>
            <w:shd w:val="clear" w:color="auto" w:fill="F1F3F6"/>
          </w:tcPr>
          <w:p>
            <w:pPr>
              <w:spacing w:after="0"/>
              <w:jc w:val="center"/>
            </w:pPr>
            <w:r/>
            <w:r>
              <w:rPr>
                <w:sz w:val="16"/>
              </w:rPr>
              <w:t>Elastic Net</w:t>
            </w:r>
          </w:p>
        </w:tc>
        <w:tc>
          <w:tcPr>
            <w:tcW w:type="dxa" w:w="1247"/>
            <w:shd w:val="clear" w:color="auto" w:fill="F1F3F6"/>
          </w:tcPr>
          <w:p>
            <w:pPr>
              <w:spacing w:after="0"/>
              <w:jc w:val="center"/>
            </w:pPr>
            <w:r/>
            <w:r>
              <w:rPr>
                <w:sz w:val="16"/>
              </w:rPr>
              <w:t>0.267</w:t>
            </w:r>
          </w:p>
        </w:tc>
        <w:tc>
          <w:tcPr>
            <w:tcW w:type="dxa" w:w="1247"/>
            <w:shd w:val="clear" w:color="auto" w:fill="F1F3F6"/>
          </w:tcPr>
          <w:p>
            <w:pPr>
              <w:spacing w:after="0"/>
              <w:jc w:val="center"/>
            </w:pPr>
            <w:r/>
            <w:r>
              <w:rPr>
                <w:sz w:val="16"/>
              </w:rPr>
              <w:t>0.269</w:t>
            </w:r>
          </w:p>
        </w:tc>
        <w:tc>
          <w:tcPr>
            <w:tcW w:type="dxa" w:w="1020"/>
            <w:shd w:val="clear" w:color="auto" w:fill="F1F3F6"/>
          </w:tcPr>
          <w:p>
            <w:pPr>
              <w:spacing w:after="0"/>
              <w:jc w:val="center"/>
            </w:pPr>
            <w:r/>
            <w:r>
              <w:rPr>
                <w:sz w:val="16"/>
              </w:rPr>
              <w:t>+0.002</w:t>
            </w:r>
          </w:p>
        </w:tc>
        <w:tc>
          <w:tcPr>
            <w:tcW w:type="dxa" w:w="1020"/>
            <w:shd w:val="clear" w:color="auto" w:fill="F1F3F6"/>
          </w:tcPr>
          <w:p>
            <w:pPr>
              <w:spacing w:after="0"/>
              <w:jc w:val="center"/>
            </w:pPr>
            <w:r/>
            <w:r>
              <w:rPr>
                <w:sz w:val="16"/>
              </w:rPr>
              <w:t>3/5</w:t>
            </w:r>
          </w:p>
        </w:tc>
      </w:tr>
      <w:tr>
        <w:tc>
          <w:tcPr>
            <w:tcW w:type="dxa" w:w="2494"/>
          </w:tcPr>
          <w:p>
            <w:pPr>
              <w:spacing w:after="0"/>
              <w:jc w:val="left"/>
            </w:pPr>
            <w:r/>
            <w:r>
              <w:rPr>
                <w:sz w:val="16"/>
              </w:rPr>
              <w:t>INTERNAL subsample</w:t>
            </w:r>
          </w:p>
        </w:tc>
        <w:tc>
          <w:tcPr>
            <w:tcW w:type="dxa" w:w="1701"/>
          </w:tcPr>
          <w:p>
            <w:pPr>
              <w:spacing w:after="0"/>
              <w:jc w:val="center"/>
            </w:pPr>
            <w:r/>
            <w:r>
              <w:rPr>
                <w:sz w:val="16"/>
              </w:rPr>
              <w:t>Random Forest</w:t>
            </w:r>
          </w:p>
        </w:tc>
        <w:tc>
          <w:tcPr>
            <w:tcW w:type="dxa" w:w="1247"/>
          </w:tcPr>
          <w:p>
            <w:pPr>
              <w:spacing w:after="0"/>
              <w:jc w:val="center"/>
            </w:pPr>
            <w:r/>
            <w:r>
              <w:rPr>
                <w:sz w:val="16"/>
              </w:rPr>
              <w:t>0.260</w:t>
            </w:r>
          </w:p>
        </w:tc>
        <w:tc>
          <w:tcPr>
            <w:tcW w:type="dxa" w:w="1247"/>
          </w:tcPr>
          <w:p>
            <w:pPr>
              <w:spacing w:after="0"/>
              <w:jc w:val="center"/>
            </w:pPr>
            <w:r/>
            <w:r>
              <w:rPr>
                <w:sz w:val="16"/>
              </w:rPr>
              <w:t>0.276</w:t>
            </w:r>
          </w:p>
        </w:tc>
        <w:tc>
          <w:tcPr>
            <w:tcW w:type="dxa" w:w="1020"/>
          </w:tcPr>
          <w:p>
            <w:pPr>
              <w:spacing w:after="0"/>
              <w:jc w:val="center"/>
            </w:pPr>
            <w:r/>
            <w:r>
              <w:rPr>
                <w:sz w:val="16"/>
              </w:rPr>
              <w:t>+0.017</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INTERNAL subsample</w:t>
            </w:r>
          </w:p>
        </w:tc>
        <w:tc>
          <w:tcPr>
            <w:tcW w:type="dxa" w:w="1701"/>
            <w:shd w:val="clear" w:color="auto" w:fill="F1F3F6"/>
          </w:tcPr>
          <w:p>
            <w:pPr>
              <w:spacing w:after="0"/>
              <w:jc w:val="center"/>
            </w:pPr>
            <w:r/>
            <w:r>
              <w:rPr>
                <w:sz w:val="16"/>
              </w:rPr>
              <w:t>Ridge</w:t>
            </w:r>
          </w:p>
        </w:tc>
        <w:tc>
          <w:tcPr>
            <w:tcW w:type="dxa" w:w="1247"/>
            <w:shd w:val="clear" w:color="auto" w:fill="F1F3F6"/>
          </w:tcPr>
          <w:p>
            <w:pPr>
              <w:spacing w:after="0"/>
              <w:jc w:val="center"/>
            </w:pPr>
            <w:r/>
            <w:r>
              <w:rPr>
                <w:sz w:val="16"/>
              </w:rPr>
              <w:t>0.273</w:t>
            </w:r>
          </w:p>
        </w:tc>
        <w:tc>
          <w:tcPr>
            <w:tcW w:type="dxa" w:w="1247"/>
            <w:shd w:val="clear" w:color="auto" w:fill="F1F3F6"/>
          </w:tcPr>
          <w:p>
            <w:pPr>
              <w:spacing w:after="0"/>
              <w:jc w:val="center"/>
            </w:pPr>
            <w:r/>
            <w:r>
              <w:rPr>
                <w:sz w:val="16"/>
              </w:rPr>
              <w:t>0.278</w:t>
            </w:r>
          </w:p>
        </w:tc>
        <w:tc>
          <w:tcPr>
            <w:tcW w:type="dxa" w:w="1020"/>
            <w:shd w:val="clear" w:color="auto" w:fill="F1F3F6"/>
          </w:tcPr>
          <w:p>
            <w:pPr>
              <w:spacing w:after="0"/>
              <w:jc w:val="center"/>
            </w:pPr>
            <w:r/>
            <w:r>
              <w:rPr>
                <w:sz w:val="16"/>
              </w:rPr>
              <w:t>+0.005</w:t>
            </w:r>
          </w:p>
        </w:tc>
        <w:tc>
          <w:tcPr>
            <w:tcW w:type="dxa" w:w="1020"/>
            <w:shd w:val="clear" w:color="auto" w:fill="F1F3F6"/>
          </w:tcPr>
          <w:p>
            <w:pPr>
              <w:spacing w:after="0"/>
              <w:jc w:val="center"/>
            </w:pPr>
            <w:r/>
            <w:r>
              <w:rPr>
                <w:sz w:val="16"/>
              </w:rPr>
              <w:t>3/5</w:t>
            </w:r>
          </w:p>
        </w:tc>
      </w:tr>
      <w:tr>
        <w:tc>
          <w:tcPr>
            <w:tcW w:type="dxa" w:w="2494"/>
          </w:tcPr>
          <w:p>
            <w:pPr>
              <w:spacing w:after="0"/>
              <w:jc w:val="left"/>
            </w:pPr>
            <w:r/>
            <w:r>
              <w:rPr>
                <w:sz w:val="16"/>
              </w:rPr>
              <w:t>INTERNAL subsample</w:t>
            </w:r>
          </w:p>
        </w:tc>
        <w:tc>
          <w:tcPr>
            <w:tcW w:type="dxa" w:w="1701"/>
          </w:tcPr>
          <w:p>
            <w:pPr>
              <w:spacing w:after="0"/>
              <w:jc w:val="center"/>
            </w:pPr>
            <w:r/>
            <w:r>
              <w:rPr>
                <w:sz w:val="16"/>
              </w:rPr>
              <w:t>Elastic Net</w:t>
            </w:r>
          </w:p>
        </w:tc>
        <w:tc>
          <w:tcPr>
            <w:tcW w:type="dxa" w:w="1247"/>
          </w:tcPr>
          <w:p>
            <w:pPr>
              <w:spacing w:after="0"/>
              <w:jc w:val="center"/>
            </w:pPr>
            <w:r/>
            <w:r>
              <w:rPr>
                <w:sz w:val="16"/>
              </w:rPr>
              <w:t>0.264</w:t>
            </w:r>
          </w:p>
        </w:tc>
        <w:tc>
          <w:tcPr>
            <w:tcW w:type="dxa" w:w="1247"/>
          </w:tcPr>
          <w:p>
            <w:pPr>
              <w:spacing w:after="0"/>
              <w:jc w:val="center"/>
            </w:pPr>
            <w:r/>
            <w:r>
              <w:rPr>
                <w:sz w:val="16"/>
              </w:rPr>
              <w:t>0.264</w:t>
            </w:r>
          </w:p>
        </w:tc>
        <w:tc>
          <w:tcPr>
            <w:tcW w:type="dxa" w:w="1020"/>
          </w:tcPr>
          <w:p>
            <w:pPr>
              <w:spacing w:after="0"/>
              <w:jc w:val="center"/>
            </w:pPr>
            <w:r/>
            <w:r>
              <w:rPr>
                <w:sz w:val="16"/>
              </w:rPr>
              <w:t>+0.000</w:t>
            </w:r>
          </w:p>
        </w:tc>
        <w:tc>
          <w:tcPr>
            <w:tcW w:type="dxa" w:w="1020"/>
          </w:tcPr>
          <w:p>
            <w:pPr>
              <w:spacing w:after="0"/>
              <w:jc w:val="center"/>
            </w:pPr>
            <w:r/>
            <w:r>
              <w:rPr>
                <w:sz w:val="16"/>
              </w:rPr>
              <w:t>2/5</w:t>
            </w:r>
          </w:p>
        </w:tc>
      </w:tr>
      <w:tr>
        <w:tc>
          <w:tcPr>
            <w:tcW w:type="dxa" w:w="2494"/>
            <w:shd w:val="clear" w:color="auto" w:fill="F1F3F6"/>
          </w:tcPr>
          <w:p>
            <w:pPr>
              <w:spacing w:after="0"/>
              <w:jc w:val="left"/>
            </w:pPr>
            <w:r/>
            <w:r>
              <w:rPr>
                <w:sz w:val="16"/>
              </w:rPr>
              <w:t>Target 7d RV</w:t>
            </w:r>
          </w:p>
        </w:tc>
        <w:tc>
          <w:tcPr>
            <w:tcW w:type="dxa" w:w="1701"/>
            <w:shd w:val="clear" w:color="auto" w:fill="F1F3F6"/>
          </w:tcPr>
          <w:p>
            <w:pPr>
              <w:spacing w:after="0"/>
              <w:jc w:val="center"/>
            </w:pPr>
            <w:r/>
            <w:r>
              <w:rPr>
                <w:sz w:val="16"/>
              </w:rPr>
              <w:t>Random Forest</w:t>
            </w:r>
          </w:p>
        </w:tc>
        <w:tc>
          <w:tcPr>
            <w:tcW w:type="dxa" w:w="1247"/>
            <w:shd w:val="clear" w:color="auto" w:fill="F1F3F6"/>
          </w:tcPr>
          <w:p>
            <w:pPr>
              <w:spacing w:after="0"/>
              <w:jc w:val="center"/>
            </w:pPr>
            <w:r/>
            <w:r>
              <w:rPr>
                <w:sz w:val="16"/>
              </w:rPr>
              <w:t>not run</w:t>
            </w:r>
          </w:p>
        </w:tc>
        <w:tc>
          <w:tcPr>
            <w:tcW w:type="dxa" w:w="1247"/>
            <w:shd w:val="clear" w:color="auto" w:fill="F1F3F6"/>
          </w:tcPr>
          <w:p>
            <w:pPr>
              <w:spacing w:after="0"/>
              <w:jc w:val="center"/>
            </w:pPr>
            <w:r/>
            <w:r>
              <w:rPr>
                <w:sz w:val="16"/>
              </w:rPr>
              <w:t>0.235</w:t>
            </w:r>
          </w:p>
        </w:tc>
        <w:tc>
          <w:tcPr>
            <w:tcW w:type="dxa" w:w="1020"/>
            <w:shd w:val="clear" w:color="auto" w:fill="F1F3F6"/>
          </w:tcPr>
          <w:p>
            <w:pPr>
              <w:spacing w:after="0"/>
              <w:jc w:val="center"/>
            </w:pPr>
            <w:r/>
            <w:r>
              <w:rPr>
                <w:sz w:val="16"/>
              </w:rPr>
              <w:t>–</w:t>
            </w:r>
          </w:p>
        </w:tc>
        <w:tc>
          <w:tcPr>
            <w:tcW w:type="dxa" w:w="1020"/>
            <w:shd w:val="clear" w:color="auto" w:fill="F1F3F6"/>
          </w:tcPr>
          <w:p>
            <w:pPr>
              <w:spacing w:after="0"/>
              <w:jc w:val="center"/>
            </w:pPr>
            <w:r/>
            <w:r>
              <w:rPr>
                <w:sz w:val="16"/>
              </w:rPr>
              <w:t>–</w:t>
            </w:r>
          </w:p>
        </w:tc>
      </w:tr>
      <w:tr>
        <w:tc>
          <w:tcPr>
            <w:tcW w:type="dxa" w:w="2494"/>
          </w:tcPr>
          <w:p>
            <w:pPr>
              <w:spacing w:after="0"/>
              <w:jc w:val="left"/>
            </w:pPr>
            <w:r/>
            <w:r>
              <w:rPr>
                <w:sz w:val="16"/>
              </w:rPr>
              <w:t>Target 7d RV</w:t>
            </w:r>
          </w:p>
        </w:tc>
        <w:tc>
          <w:tcPr>
            <w:tcW w:type="dxa" w:w="1701"/>
          </w:tcPr>
          <w:p>
            <w:pPr>
              <w:spacing w:after="0"/>
              <w:jc w:val="center"/>
            </w:pPr>
            <w:r/>
            <w:r>
              <w:rPr>
                <w:sz w:val="16"/>
              </w:rPr>
              <w:t>Ridge</w:t>
            </w:r>
          </w:p>
        </w:tc>
        <w:tc>
          <w:tcPr>
            <w:tcW w:type="dxa" w:w="1247"/>
          </w:tcPr>
          <w:p>
            <w:pPr>
              <w:spacing w:after="0"/>
              <w:jc w:val="center"/>
            </w:pPr>
            <w:r/>
            <w:r>
              <w:rPr>
                <w:sz w:val="16"/>
              </w:rPr>
              <w:t>0.211</w:t>
            </w:r>
          </w:p>
        </w:tc>
        <w:tc>
          <w:tcPr>
            <w:tcW w:type="dxa" w:w="1247"/>
          </w:tcPr>
          <w:p>
            <w:pPr>
              <w:spacing w:after="0"/>
              <w:jc w:val="center"/>
            </w:pPr>
            <w:r/>
            <w:r>
              <w:rPr>
                <w:sz w:val="16"/>
              </w:rPr>
              <w:t>0.215</w:t>
            </w:r>
          </w:p>
        </w:tc>
        <w:tc>
          <w:tcPr>
            <w:tcW w:type="dxa" w:w="1020"/>
          </w:tcPr>
          <w:p>
            <w:pPr>
              <w:spacing w:after="0"/>
              <w:jc w:val="center"/>
            </w:pPr>
            <w:r/>
            <w:r>
              <w:rPr>
                <w:sz w:val="16"/>
              </w:rPr>
              <w:t>+0.004</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Target 7d RV</w:t>
            </w:r>
          </w:p>
        </w:tc>
        <w:tc>
          <w:tcPr>
            <w:tcW w:type="dxa" w:w="1701"/>
            <w:shd w:val="clear" w:color="auto" w:fill="F1F3F6"/>
          </w:tcPr>
          <w:p>
            <w:pPr>
              <w:spacing w:after="0"/>
              <w:jc w:val="center"/>
            </w:pPr>
            <w:r/>
            <w:r>
              <w:rPr>
                <w:sz w:val="16"/>
              </w:rPr>
              <w:t>Elastic Net</w:t>
            </w:r>
          </w:p>
        </w:tc>
        <w:tc>
          <w:tcPr>
            <w:tcW w:type="dxa" w:w="1247"/>
            <w:shd w:val="clear" w:color="auto" w:fill="F1F3F6"/>
          </w:tcPr>
          <w:p>
            <w:pPr>
              <w:spacing w:after="0"/>
              <w:jc w:val="center"/>
            </w:pPr>
            <w:r/>
            <w:r>
              <w:rPr>
                <w:sz w:val="16"/>
              </w:rPr>
              <w:t>0.214</w:t>
            </w:r>
          </w:p>
        </w:tc>
        <w:tc>
          <w:tcPr>
            <w:tcW w:type="dxa" w:w="1247"/>
            <w:shd w:val="clear" w:color="auto" w:fill="F1F3F6"/>
          </w:tcPr>
          <w:p>
            <w:pPr>
              <w:spacing w:after="0"/>
              <w:jc w:val="center"/>
            </w:pPr>
            <w:r/>
            <w:r>
              <w:rPr>
                <w:sz w:val="16"/>
              </w:rPr>
              <w:t>0.216</w:t>
            </w:r>
          </w:p>
        </w:tc>
        <w:tc>
          <w:tcPr>
            <w:tcW w:type="dxa" w:w="1020"/>
            <w:shd w:val="clear" w:color="auto" w:fill="F1F3F6"/>
          </w:tcPr>
          <w:p>
            <w:pPr>
              <w:spacing w:after="0"/>
              <w:jc w:val="center"/>
            </w:pPr>
            <w:r/>
            <w:r>
              <w:rPr>
                <w:sz w:val="16"/>
              </w:rPr>
              <w:t>+0.002</w:t>
            </w:r>
          </w:p>
        </w:tc>
        <w:tc>
          <w:tcPr>
            <w:tcW w:type="dxa" w:w="1020"/>
            <w:shd w:val="clear" w:color="auto" w:fill="F1F3F6"/>
          </w:tcPr>
          <w:p>
            <w:pPr>
              <w:spacing w:after="0"/>
              <w:jc w:val="center"/>
            </w:pPr>
            <w:r/>
            <w:r>
              <w:rPr>
                <w:sz w:val="16"/>
              </w:rPr>
              <w:t>4/5</w:t>
            </w:r>
          </w:p>
        </w:tc>
      </w:tr>
      <w:tr>
        <w:tc>
          <w:tcPr>
            <w:tcW w:type="dxa" w:w="2494"/>
          </w:tcPr>
          <w:p>
            <w:pPr>
              <w:spacing w:after="0"/>
              <w:jc w:val="left"/>
            </w:pPr>
            <w:r/>
            <w:r>
              <w:rPr>
                <w:sz w:val="16"/>
              </w:rPr>
              <w:t>Target 30d RV</w:t>
            </w:r>
          </w:p>
        </w:tc>
        <w:tc>
          <w:tcPr>
            <w:tcW w:type="dxa" w:w="1701"/>
          </w:tcPr>
          <w:p>
            <w:pPr>
              <w:spacing w:after="0"/>
              <w:jc w:val="center"/>
            </w:pPr>
            <w:r/>
            <w:r>
              <w:rPr>
                <w:sz w:val="16"/>
              </w:rPr>
              <w:t>Random Forest</w:t>
            </w:r>
          </w:p>
        </w:tc>
        <w:tc>
          <w:tcPr>
            <w:tcW w:type="dxa" w:w="1247"/>
          </w:tcPr>
          <w:p>
            <w:pPr>
              <w:spacing w:after="0"/>
              <w:jc w:val="center"/>
            </w:pPr>
            <w:r/>
            <w:r>
              <w:rPr>
                <w:sz w:val="16"/>
              </w:rPr>
              <w:t>not run</w:t>
            </w:r>
          </w:p>
        </w:tc>
        <w:tc>
          <w:tcPr>
            <w:tcW w:type="dxa" w:w="1247"/>
          </w:tcPr>
          <w:p>
            <w:pPr>
              <w:spacing w:after="0"/>
              <w:jc w:val="center"/>
            </w:pPr>
            <w:r/>
            <w:r>
              <w:rPr>
                <w:sz w:val="16"/>
              </w:rPr>
              <w:t>0.388</w:t>
            </w:r>
          </w:p>
        </w:tc>
        <w:tc>
          <w:tcPr>
            <w:tcW w:type="dxa" w:w="1020"/>
          </w:tcPr>
          <w:p>
            <w:pPr>
              <w:spacing w:after="0"/>
              <w:jc w:val="center"/>
            </w:pPr>
            <w:r/>
            <w:r>
              <w:rPr>
                <w:sz w:val="16"/>
              </w:rPr>
              <w:t>–</w:t>
            </w:r>
          </w:p>
        </w:tc>
        <w:tc>
          <w:tcPr>
            <w:tcW w:type="dxa" w:w="1020"/>
          </w:tcPr>
          <w:p>
            <w:pPr>
              <w:spacing w:after="0"/>
              <w:jc w:val="center"/>
            </w:pPr>
            <w:r/>
            <w:r>
              <w:rPr>
                <w:sz w:val="16"/>
              </w:rPr>
              <w:t>–</w:t>
            </w:r>
          </w:p>
        </w:tc>
      </w:tr>
      <w:tr>
        <w:tc>
          <w:tcPr>
            <w:tcW w:type="dxa" w:w="2494"/>
            <w:shd w:val="clear" w:color="auto" w:fill="F1F3F6"/>
          </w:tcPr>
          <w:p>
            <w:pPr>
              <w:spacing w:after="0"/>
              <w:jc w:val="left"/>
            </w:pPr>
            <w:r/>
            <w:r>
              <w:rPr>
                <w:sz w:val="16"/>
              </w:rPr>
              <w:t>Target 30d RV</w:t>
            </w:r>
          </w:p>
        </w:tc>
        <w:tc>
          <w:tcPr>
            <w:tcW w:type="dxa" w:w="1701"/>
            <w:shd w:val="clear" w:color="auto" w:fill="F1F3F6"/>
          </w:tcPr>
          <w:p>
            <w:pPr>
              <w:spacing w:after="0"/>
              <w:jc w:val="center"/>
            </w:pPr>
            <w:r/>
            <w:r>
              <w:rPr>
                <w:sz w:val="16"/>
              </w:rPr>
              <w:t>Ridge</w:t>
            </w:r>
          </w:p>
        </w:tc>
        <w:tc>
          <w:tcPr>
            <w:tcW w:type="dxa" w:w="1247"/>
            <w:shd w:val="clear" w:color="auto" w:fill="F1F3F6"/>
          </w:tcPr>
          <w:p>
            <w:pPr>
              <w:spacing w:after="0"/>
              <w:jc w:val="center"/>
            </w:pPr>
            <w:r/>
            <w:r>
              <w:rPr>
                <w:sz w:val="16"/>
              </w:rPr>
              <w:t>0.363</w:t>
            </w:r>
          </w:p>
        </w:tc>
        <w:tc>
          <w:tcPr>
            <w:tcW w:type="dxa" w:w="1247"/>
            <w:shd w:val="clear" w:color="auto" w:fill="F1F3F6"/>
          </w:tcPr>
          <w:p>
            <w:pPr>
              <w:spacing w:after="0"/>
              <w:jc w:val="center"/>
            </w:pPr>
            <w:r/>
            <w:r>
              <w:rPr>
                <w:sz w:val="16"/>
              </w:rPr>
              <w:t>0.366</w:t>
            </w:r>
          </w:p>
        </w:tc>
        <w:tc>
          <w:tcPr>
            <w:tcW w:type="dxa" w:w="1020"/>
            <w:shd w:val="clear" w:color="auto" w:fill="F1F3F6"/>
          </w:tcPr>
          <w:p>
            <w:pPr>
              <w:spacing w:after="0"/>
              <w:jc w:val="center"/>
            </w:pPr>
            <w:r/>
            <w:r>
              <w:rPr>
                <w:sz w:val="16"/>
              </w:rPr>
              <w:t>+0.003</w:t>
            </w:r>
          </w:p>
        </w:tc>
        <w:tc>
          <w:tcPr>
            <w:tcW w:type="dxa" w:w="1020"/>
            <w:shd w:val="clear" w:color="auto" w:fill="F1F3F6"/>
          </w:tcPr>
          <w:p>
            <w:pPr>
              <w:spacing w:after="0"/>
              <w:jc w:val="center"/>
            </w:pPr>
            <w:r/>
            <w:r>
              <w:rPr>
                <w:sz w:val="16"/>
              </w:rPr>
              <w:t>4/5</w:t>
            </w:r>
          </w:p>
        </w:tc>
      </w:tr>
      <w:tr>
        <w:tc>
          <w:tcPr>
            <w:tcW w:type="dxa" w:w="2494"/>
          </w:tcPr>
          <w:p>
            <w:pPr>
              <w:spacing w:after="0"/>
              <w:jc w:val="left"/>
            </w:pPr>
            <w:r/>
            <w:r>
              <w:rPr>
                <w:sz w:val="16"/>
              </w:rPr>
              <w:t>Target 30d RV</w:t>
            </w:r>
          </w:p>
        </w:tc>
        <w:tc>
          <w:tcPr>
            <w:tcW w:type="dxa" w:w="1701"/>
          </w:tcPr>
          <w:p>
            <w:pPr>
              <w:spacing w:after="0"/>
              <w:jc w:val="center"/>
            </w:pPr>
            <w:r/>
            <w:r>
              <w:rPr>
                <w:sz w:val="16"/>
              </w:rPr>
              <w:t>Elastic Net</w:t>
            </w:r>
          </w:p>
        </w:tc>
        <w:tc>
          <w:tcPr>
            <w:tcW w:type="dxa" w:w="1247"/>
          </w:tcPr>
          <w:p>
            <w:pPr>
              <w:spacing w:after="0"/>
              <w:jc w:val="center"/>
            </w:pPr>
            <w:r/>
            <w:r>
              <w:rPr>
                <w:sz w:val="16"/>
              </w:rPr>
              <w:t>0.347</w:t>
            </w:r>
          </w:p>
        </w:tc>
        <w:tc>
          <w:tcPr>
            <w:tcW w:type="dxa" w:w="1247"/>
          </w:tcPr>
          <w:p>
            <w:pPr>
              <w:spacing w:after="0"/>
              <w:jc w:val="center"/>
            </w:pPr>
            <w:r/>
            <w:r>
              <w:rPr>
                <w:sz w:val="16"/>
              </w:rPr>
              <w:t>0.350</w:t>
            </w:r>
          </w:p>
        </w:tc>
        <w:tc>
          <w:tcPr>
            <w:tcW w:type="dxa" w:w="1020"/>
          </w:tcPr>
          <w:p>
            <w:pPr>
              <w:spacing w:after="0"/>
              <w:jc w:val="center"/>
            </w:pPr>
            <w:r/>
            <w:r>
              <w:rPr>
                <w:sz w:val="16"/>
              </w:rPr>
              <w:t>+0.003</w:t>
            </w:r>
          </w:p>
        </w:tc>
        <w:tc>
          <w:tcPr>
            <w:tcW w:type="dxa" w:w="1020"/>
          </w:tcPr>
          <w:p>
            <w:pPr>
              <w:spacing w:after="0"/>
              <w:jc w:val="center"/>
            </w:pPr>
            <w:r/>
            <w:r>
              <w:rPr>
                <w:sz w:val="16"/>
              </w:rPr>
              <w:t>3/5</w:t>
            </w:r>
          </w:p>
        </w:tc>
      </w:tr>
      <w:tr>
        <w:tc>
          <w:tcPr>
            <w:tcW w:type="dxa" w:w="2494"/>
            <w:shd w:val="clear" w:color="auto" w:fill="F1F3F6"/>
          </w:tcPr>
          <w:p>
            <w:pPr>
              <w:spacing w:after="0"/>
              <w:jc w:val="left"/>
            </w:pPr>
            <w:r/>
            <w:r>
              <w:rPr>
                <w:sz w:val="16"/>
              </w:rPr>
              <w:t>Target Parkinson 14d</w:t>
            </w:r>
          </w:p>
        </w:tc>
        <w:tc>
          <w:tcPr>
            <w:tcW w:type="dxa" w:w="1701"/>
            <w:shd w:val="clear" w:color="auto" w:fill="F1F3F6"/>
          </w:tcPr>
          <w:p>
            <w:pPr>
              <w:spacing w:after="0"/>
              <w:jc w:val="center"/>
            </w:pPr>
            <w:r/>
            <w:r>
              <w:rPr>
                <w:sz w:val="16"/>
              </w:rPr>
              <w:t>Random Forest</w:t>
            </w:r>
          </w:p>
        </w:tc>
        <w:tc>
          <w:tcPr>
            <w:tcW w:type="dxa" w:w="1247"/>
            <w:shd w:val="clear" w:color="auto" w:fill="F1F3F6"/>
          </w:tcPr>
          <w:p>
            <w:pPr>
              <w:spacing w:after="0"/>
              <w:jc w:val="center"/>
            </w:pPr>
            <w:r/>
            <w:r>
              <w:rPr>
                <w:sz w:val="16"/>
              </w:rPr>
              <w:t>not run</w:t>
            </w:r>
          </w:p>
        </w:tc>
        <w:tc>
          <w:tcPr>
            <w:tcW w:type="dxa" w:w="1247"/>
            <w:shd w:val="clear" w:color="auto" w:fill="F1F3F6"/>
          </w:tcPr>
          <w:p>
            <w:pPr>
              <w:spacing w:after="0"/>
              <w:jc w:val="center"/>
            </w:pPr>
            <w:r/>
            <w:r>
              <w:rPr>
                <w:sz w:val="16"/>
              </w:rPr>
              <w:t>0.354</w:t>
            </w:r>
          </w:p>
        </w:tc>
        <w:tc>
          <w:tcPr>
            <w:tcW w:type="dxa" w:w="1020"/>
            <w:shd w:val="clear" w:color="auto" w:fill="F1F3F6"/>
          </w:tcPr>
          <w:p>
            <w:pPr>
              <w:spacing w:after="0"/>
              <w:jc w:val="center"/>
            </w:pPr>
            <w:r/>
            <w:r>
              <w:rPr>
                <w:sz w:val="16"/>
              </w:rPr>
              <w:t>–</w:t>
            </w:r>
          </w:p>
        </w:tc>
        <w:tc>
          <w:tcPr>
            <w:tcW w:type="dxa" w:w="1020"/>
            <w:shd w:val="clear" w:color="auto" w:fill="F1F3F6"/>
          </w:tcPr>
          <w:p>
            <w:pPr>
              <w:spacing w:after="0"/>
              <w:jc w:val="center"/>
            </w:pPr>
            <w:r/>
            <w:r>
              <w:rPr>
                <w:sz w:val="16"/>
              </w:rPr>
              <w:t>–</w:t>
            </w:r>
          </w:p>
        </w:tc>
      </w:tr>
      <w:tr>
        <w:tc>
          <w:tcPr>
            <w:tcW w:type="dxa" w:w="2494"/>
          </w:tcPr>
          <w:p>
            <w:pPr>
              <w:spacing w:after="0"/>
              <w:jc w:val="left"/>
            </w:pPr>
            <w:r/>
            <w:r>
              <w:rPr>
                <w:sz w:val="16"/>
              </w:rPr>
              <w:t>Target Parkinson 14d</w:t>
            </w:r>
          </w:p>
        </w:tc>
        <w:tc>
          <w:tcPr>
            <w:tcW w:type="dxa" w:w="1701"/>
          </w:tcPr>
          <w:p>
            <w:pPr>
              <w:spacing w:after="0"/>
              <w:jc w:val="center"/>
            </w:pPr>
            <w:r/>
            <w:r>
              <w:rPr>
                <w:sz w:val="16"/>
              </w:rPr>
              <w:t>Ridge</w:t>
            </w:r>
          </w:p>
        </w:tc>
        <w:tc>
          <w:tcPr>
            <w:tcW w:type="dxa" w:w="1247"/>
          </w:tcPr>
          <w:p>
            <w:pPr>
              <w:spacing w:after="0"/>
              <w:jc w:val="center"/>
            </w:pPr>
            <w:r/>
            <w:r>
              <w:rPr>
                <w:sz w:val="16"/>
              </w:rPr>
              <w:t>0.316</w:t>
            </w:r>
          </w:p>
        </w:tc>
        <w:tc>
          <w:tcPr>
            <w:tcW w:type="dxa" w:w="1247"/>
          </w:tcPr>
          <w:p>
            <w:pPr>
              <w:spacing w:after="0"/>
              <w:jc w:val="center"/>
            </w:pPr>
            <w:r/>
            <w:r>
              <w:rPr>
                <w:sz w:val="16"/>
              </w:rPr>
              <w:t>0.326</w:t>
            </w:r>
          </w:p>
        </w:tc>
        <w:tc>
          <w:tcPr>
            <w:tcW w:type="dxa" w:w="1020"/>
          </w:tcPr>
          <w:p>
            <w:pPr>
              <w:spacing w:after="0"/>
              <w:jc w:val="center"/>
            </w:pPr>
            <w:r/>
            <w:r>
              <w:rPr>
                <w:sz w:val="16"/>
              </w:rPr>
              <w:t>+0.011</w:t>
            </w:r>
          </w:p>
        </w:tc>
        <w:tc>
          <w:tcPr>
            <w:tcW w:type="dxa" w:w="1020"/>
          </w:tcPr>
          <w:p>
            <w:pPr>
              <w:spacing w:after="0"/>
              <w:jc w:val="center"/>
            </w:pPr>
            <w:r/>
            <w:r>
              <w:rPr>
                <w:sz w:val="16"/>
              </w:rPr>
              <w:t>5/5</w:t>
            </w:r>
          </w:p>
        </w:tc>
      </w:tr>
      <w:tr>
        <w:tc>
          <w:tcPr>
            <w:tcW w:type="dxa" w:w="2494"/>
            <w:shd w:val="clear" w:color="auto" w:fill="F1F3F6"/>
          </w:tcPr>
          <w:p>
            <w:pPr>
              <w:spacing w:after="0"/>
              <w:jc w:val="left"/>
            </w:pPr>
            <w:r/>
            <w:r>
              <w:rPr>
                <w:sz w:val="16"/>
              </w:rPr>
              <w:t>Target Parkinson 14d</w:t>
            </w:r>
          </w:p>
        </w:tc>
        <w:tc>
          <w:tcPr>
            <w:tcW w:type="dxa" w:w="1701"/>
            <w:shd w:val="clear" w:color="auto" w:fill="F1F3F6"/>
          </w:tcPr>
          <w:p>
            <w:pPr>
              <w:spacing w:after="0"/>
              <w:jc w:val="center"/>
            </w:pPr>
            <w:r/>
            <w:r>
              <w:rPr>
                <w:sz w:val="16"/>
              </w:rPr>
              <w:t>Elastic Net</w:t>
            </w:r>
          </w:p>
        </w:tc>
        <w:tc>
          <w:tcPr>
            <w:tcW w:type="dxa" w:w="1247"/>
            <w:shd w:val="clear" w:color="auto" w:fill="F1F3F6"/>
          </w:tcPr>
          <w:p>
            <w:pPr>
              <w:spacing w:after="0"/>
              <w:jc w:val="center"/>
            </w:pPr>
            <w:r/>
            <w:r>
              <w:rPr>
                <w:sz w:val="16"/>
              </w:rPr>
              <w:t>0.312</w:t>
            </w:r>
          </w:p>
        </w:tc>
        <w:tc>
          <w:tcPr>
            <w:tcW w:type="dxa" w:w="1247"/>
            <w:shd w:val="clear" w:color="auto" w:fill="F1F3F6"/>
          </w:tcPr>
          <w:p>
            <w:pPr>
              <w:spacing w:after="0"/>
              <w:jc w:val="center"/>
            </w:pPr>
            <w:r/>
            <w:r>
              <w:rPr>
                <w:sz w:val="16"/>
              </w:rPr>
              <w:t>0.313</w:t>
            </w:r>
          </w:p>
        </w:tc>
        <w:tc>
          <w:tcPr>
            <w:tcW w:type="dxa" w:w="1020"/>
            <w:shd w:val="clear" w:color="auto" w:fill="F1F3F6"/>
          </w:tcPr>
          <w:p>
            <w:pPr>
              <w:spacing w:after="0"/>
              <w:jc w:val="center"/>
            </w:pPr>
            <w:r/>
            <w:r>
              <w:rPr>
                <w:sz w:val="16"/>
              </w:rPr>
              <w:t>+0.001</w:t>
            </w:r>
          </w:p>
        </w:tc>
        <w:tc>
          <w:tcPr>
            <w:tcW w:type="dxa" w:w="1020"/>
            <w:shd w:val="clear" w:color="auto" w:fill="F1F3F6"/>
          </w:tcPr>
          <w:p>
            <w:pPr>
              <w:spacing w:after="0"/>
              <w:jc w:val="center"/>
            </w:pPr>
            <w:r/>
            <w:r>
              <w:rPr>
                <w:sz w:val="16"/>
              </w:rPr>
              <w:t>3/5</w:t>
            </w:r>
          </w:p>
        </w:tc>
      </w:tr>
    </w:tbl>
    <w:p>
      <w:pPr>
        <w:spacing w:after="40"/>
      </w:pPr>
    </w:p>
    <w:p>
      <w:pPr>
        <w:keepNext/>
        <w:spacing w:after="40"/>
        <w:jc w:val="both"/>
      </w:pPr>
      <w:r>
        <w:rPr>
          <w:b/>
          <w:color w:val="5A6070"/>
          <w:sz w:val="18"/>
        </w:rPr>
        <w:t>Table A3. Contribution of each member (to be completed by the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1F2433"/>
          </w:tcPr>
          <w:p>
            <w:pPr>
              <w:spacing w:after="0"/>
              <w:jc w:val="left"/>
            </w:pPr>
            <w:r>
              <w:rPr>
                <w:b/>
                <w:color w:val="FFFFFF"/>
              </w:rPr>
            </w:r>
            <w:r>
              <w:rPr>
                <w:b/>
                <w:color w:val="FFFFFF"/>
                <w:sz w:val="17"/>
              </w:rPr>
              <w:t>Member</w:t>
            </w:r>
          </w:p>
        </w:tc>
        <w:tc>
          <w:tcPr>
            <w:tcW w:type="dxa" w:w="2041"/>
            <w:shd w:val="clear" w:color="auto" w:fill="1F2433"/>
          </w:tcPr>
          <w:p>
            <w:pPr>
              <w:spacing w:after="0"/>
              <w:jc w:val="center"/>
            </w:pPr>
            <w:r>
              <w:rPr>
                <w:b/>
                <w:color w:val="FFFFFF"/>
              </w:rPr>
            </w:r>
            <w:r>
              <w:rPr>
                <w:b/>
                <w:color w:val="FFFFFF"/>
                <w:sz w:val="17"/>
              </w:rPr>
              <w:t>Models</w:t>
            </w:r>
          </w:p>
        </w:tc>
        <w:tc>
          <w:tcPr>
            <w:tcW w:type="dxa" w:w="1020"/>
            <w:shd w:val="clear" w:color="auto" w:fill="1F2433"/>
          </w:tcPr>
          <w:p>
            <w:pPr>
              <w:spacing w:after="0"/>
              <w:jc w:val="center"/>
            </w:pPr>
            <w:r>
              <w:rPr>
                <w:b/>
                <w:color w:val="FFFFFF"/>
              </w:rPr>
            </w:r>
            <w:r>
              <w:rPr>
                <w:b/>
                <w:color w:val="FFFFFF"/>
                <w:sz w:val="17"/>
              </w:rPr>
              <w:t>Data &amp; EDA</w:t>
            </w:r>
          </w:p>
        </w:tc>
        <w:tc>
          <w:tcPr>
            <w:tcW w:type="dxa" w:w="1020"/>
            <w:shd w:val="clear" w:color="auto" w:fill="1F2433"/>
          </w:tcPr>
          <w:p>
            <w:pPr>
              <w:spacing w:after="0"/>
              <w:jc w:val="center"/>
            </w:pPr>
            <w:r>
              <w:rPr>
                <w:b/>
                <w:color w:val="FFFFFF"/>
              </w:rPr>
            </w:r>
            <w:r>
              <w:rPr>
                <w:b/>
                <w:color w:val="FFFFFF"/>
                <w:sz w:val="17"/>
              </w:rPr>
              <w:t>Methods</w:t>
            </w:r>
          </w:p>
        </w:tc>
        <w:tc>
          <w:tcPr>
            <w:tcW w:type="dxa" w:w="1020"/>
            <w:shd w:val="clear" w:color="auto" w:fill="1F2433"/>
          </w:tcPr>
          <w:p>
            <w:pPr>
              <w:spacing w:after="0"/>
              <w:jc w:val="center"/>
            </w:pPr>
            <w:r>
              <w:rPr>
                <w:b/>
                <w:color w:val="FFFFFF"/>
              </w:rPr>
            </w:r>
            <w:r>
              <w:rPr>
                <w:b/>
                <w:color w:val="FFFFFF"/>
                <w:sz w:val="17"/>
              </w:rPr>
              <w:t>Results</w:t>
            </w:r>
          </w:p>
        </w:tc>
        <w:tc>
          <w:tcPr>
            <w:tcW w:type="dxa" w:w="1020"/>
            <w:shd w:val="clear" w:color="auto" w:fill="1F2433"/>
          </w:tcPr>
          <w:p>
            <w:pPr>
              <w:spacing w:after="0"/>
              <w:jc w:val="center"/>
            </w:pPr>
            <w:r>
              <w:rPr>
                <w:b/>
                <w:color w:val="FFFFFF"/>
              </w:rPr>
            </w:r>
            <w:r>
              <w:rPr>
                <w:b/>
                <w:color w:val="FFFFFF"/>
                <w:sz w:val="17"/>
              </w:rPr>
              <w:t>Report</w:t>
            </w:r>
          </w:p>
        </w:tc>
        <w:tc>
          <w:tcPr>
            <w:tcW w:type="dxa" w:w="1020"/>
            <w:shd w:val="clear" w:color="auto" w:fill="1F2433"/>
          </w:tcPr>
          <w:p>
            <w:pPr>
              <w:spacing w:after="0"/>
              <w:jc w:val="center"/>
            </w:pPr>
            <w:r>
              <w:rPr>
                <w:b/>
                <w:color w:val="FFFFFF"/>
              </w:rPr>
            </w:r>
            <w:r>
              <w:rPr>
                <w:b/>
                <w:color w:val="FFFFFF"/>
                <w:sz w:val="17"/>
              </w:rPr>
              <w:t>Slides</w:t>
            </w:r>
          </w:p>
        </w:tc>
      </w:tr>
      <w:tr>
        <w:tc>
          <w:tcPr>
            <w:tcW w:type="dxa" w:w="1587"/>
          </w:tcPr>
          <w:p>
            <w:pPr>
              <w:spacing w:after="0"/>
              <w:jc w:val="left"/>
            </w:pPr>
            <w:r/>
            <w:r>
              <w:rPr>
                <w:b/>
                <w:color w:val="C0392B"/>
                <w:sz w:val="17"/>
              </w:rPr>
              <w:t>[Member 1]</w:t>
            </w:r>
          </w:p>
        </w:tc>
        <w:tc>
          <w:tcPr>
            <w:tcW w:type="dxa" w:w="2041"/>
          </w:tcPr>
          <w:p>
            <w:pPr>
              <w:spacing w:after="0"/>
              <w:jc w:val="center"/>
            </w:pPr>
            <w:r/>
            <w:r>
              <w:rPr>
                <w:b/>
                <w:color w:val="C0392B"/>
                <w:sz w:val="17"/>
              </w:rPr>
              <w:t>[e.g. KNN, RF]</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r>
      <w:tr>
        <w:tc>
          <w:tcPr>
            <w:tcW w:type="dxa" w:w="1587"/>
            <w:shd w:val="clear" w:color="auto" w:fill="F1F3F6"/>
          </w:tcPr>
          <w:p>
            <w:pPr>
              <w:spacing w:after="0"/>
              <w:jc w:val="left"/>
            </w:pPr>
            <w:r/>
            <w:r>
              <w:rPr>
                <w:b/>
                <w:color w:val="C0392B"/>
                <w:sz w:val="17"/>
              </w:rPr>
              <w:t>[Member 2]</w:t>
            </w:r>
          </w:p>
        </w:tc>
        <w:tc>
          <w:tcPr>
            <w:tcW w:type="dxa" w:w="2041"/>
            <w:shd w:val="clear" w:color="auto" w:fill="F1F3F6"/>
          </w:tcPr>
          <w:p>
            <w:pPr>
              <w:spacing w:after="0"/>
              <w:jc w:val="center"/>
            </w:pPr>
            <w:r/>
            <w:r>
              <w:rPr>
                <w:b/>
                <w:color w:val="C0392B"/>
                <w:sz w:val="17"/>
              </w:rPr>
              <w:t>[e.g. Ridge, Elastic Net]</w:t>
            </w:r>
          </w:p>
        </w:tc>
        <w:tc>
          <w:tcPr>
            <w:tcW w:type="dxa" w:w="1020"/>
            <w:shd w:val="clear" w:color="auto" w:fill="F1F3F6"/>
          </w:tcPr>
          <w:p>
            <w:pPr>
              <w:spacing w:after="0"/>
              <w:jc w:val="center"/>
            </w:pPr>
            <w:r/>
            <w:r>
              <w:rPr>
                <w:b/>
                <w:color w:val="C0392B"/>
                <w:sz w:val="17"/>
              </w:rPr>
              <w:t>[%]</w:t>
            </w:r>
          </w:p>
        </w:tc>
        <w:tc>
          <w:tcPr>
            <w:tcW w:type="dxa" w:w="1020"/>
            <w:shd w:val="clear" w:color="auto" w:fill="F1F3F6"/>
          </w:tcPr>
          <w:p>
            <w:pPr>
              <w:spacing w:after="0"/>
              <w:jc w:val="center"/>
            </w:pPr>
            <w:r/>
            <w:r>
              <w:rPr>
                <w:b/>
                <w:color w:val="C0392B"/>
                <w:sz w:val="17"/>
              </w:rPr>
              <w:t>[%]</w:t>
            </w:r>
          </w:p>
        </w:tc>
        <w:tc>
          <w:tcPr>
            <w:tcW w:type="dxa" w:w="1020"/>
            <w:shd w:val="clear" w:color="auto" w:fill="F1F3F6"/>
          </w:tcPr>
          <w:p>
            <w:pPr>
              <w:spacing w:after="0"/>
              <w:jc w:val="center"/>
            </w:pPr>
            <w:r/>
            <w:r>
              <w:rPr>
                <w:b/>
                <w:color w:val="C0392B"/>
                <w:sz w:val="17"/>
              </w:rPr>
              <w:t>[%]</w:t>
            </w:r>
          </w:p>
        </w:tc>
        <w:tc>
          <w:tcPr>
            <w:tcW w:type="dxa" w:w="1020"/>
            <w:shd w:val="clear" w:color="auto" w:fill="F1F3F6"/>
          </w:tcPr>
          <w:p>
            <w:pPr>
              <w:spacing w:after="0"/>
              <w:jc w:val="center"/>
            </w:pPr>
            <w:r/>
            <w:r>
              <w:rPr>
                <w:b/>
                <w:color w:val="C0392B"/>
                <w:sz w:val="17"/>
              </w:rPr>
              <w:t>[%]</w:t>
            </w:r>
          </w:p>
        </w:tc>
        <w:tc>
          <w:tcPr>
            <w:tcW w:type="dxa" w:w="1020"/>
            <w:shd w:val="clear" w:color="auto" w:fill="F1F3F6"/>
          </w:tcPr>
          <w:p>
            <w:pPr>
              <w:spacing w:after="0"/>
              <w:jc w:val="center"/>
            </w:pPr>
            <w:r/>
            <w:r>
              <w:rPr>
                <w:b/>
                <w:color w:val="C0392B"/>
                <w:sz w:val="17"/>
              </w:rPr>
              <w:t>[%]</w:t>
            </w:r>
          </w:p>
        </w:tc>
      </w:tr>
      <w:tr>
        <w:tc>
          <w:tcPr>
            <w:tcW w:type="dxa" w:w="1587"/>
          </w:tcPr>
          <w:p>
            <w:pPr>
              <w:spacing w:after="0"/>
              <w:jc w:val="left"/>
            </w:pPr>
            <w:r/>
            <w:r>
              <w:rPr>
                <w:b/>
                <w:color w:val="C0392B"/>
                <w:sz w:val="17"/>
              </w:rPr>
              <w:t>[Member 3]</w:t>
            </w:r>
          </w:p>
        </w:tc>
        <w:tc>
          <w:tcPr>
            <w:tcW w:type="dxa" w:w="2041"/>
          </w:tcPr>
          <w:p>
            <w:pPr>
              <w:spacing w:after="0"/>
              <w:jc w:val="center"/>
            </w:pPr>
            <w:r/>
            <w:r>
              <w:rPr>
                <w:b/>
                <w:color w:val="C0392B"/>
                <w:sz w:val="17"/>
              </w:rPr>
              <w:t>[e.g. Logistic]</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c>
          <w:tcPr>
            <w:tcW w:type="dxa" w:w="1020"/>
          </w:tcPr>
          <w:p>
            <w:pPr>
              <w:spacing w:after="0"/>
              <w:jc w:val="center"/>
            </w:pPr>
            <w:r/>
            <w:r>
              <w:rPr>
                <w:b/>
                <w:color w:val="C0392B"/>
                <w:sz w:val="17"/>
              </w:rPr>
              <w:t>[%]</w:t>
            </w:r>
          </w:p>
        </w:tc>
      </w:tr>
    </w:tbl>
    <w:p>
      <w:pPr>
        <w:spacing w:after="40"/>
      </w:pPr>
    </w:p>
    <w:p>
      <w:pPr>
        <w:keepNext/>
        <w:spacing w:after="0"/>
        <w:jc w:val="center"/>
      </w:pPr>
      <w:r>
        <w:drawing>
          <wp:inline xmlns:a="http://schemas.openxmlformats.org/drawingml/2006/main" xmlns:pic="http://schemas.openxmlformats.org/drawingml/2006/picture">
            <wp:extent cx="4320000" cy="2651330"/>
            <wp:docPr id="3" name="Picture 3"/>
            <wp:cNvGraphicFramePr>
              <a:graphicFrameLocks noChangeAspect="1"/>
            </wp:cNvGraphicFramePr>
            <a:graphic>
              <a:graphicData uri="http://schemas.openxmlformats.org/drawingml/2006/picture">
                <pic:pic>
                  <pic:nvPicPr>
                    <pic:cNvPr id="0" name="knn_val_rmse_vs_k.png"/>
                    <pic:cNvPicPr/>
                  </pic:nvPicPr>
                  <pic:blipFill>
                    <a:blip r:embed="rId12"/>
                    <a:stretch>
                      <a:fillRect/>
                    </a:stretch>
                  </pic:blipFill>
                  <pic:spPr>
                    <a:xfrm>
                      <a:off x="0" y="0"/>
                      <a:ext cx="4320000" cy="2651330"/>
                    </a:xfrm>
                    <a:prstGeom prst="rect"/>
                  </pic:spPr>
                </pic:pic>
              </a:graphicData>
            </a:graphic>
          </wp:inline>
        </w:drawing>
      </w:r>
    </w:p>
    <w:p>
      <w:pPr>
        <w:spacing w:after="120"/>
        <w:jc w:val="center"/>
      </w:pPr>
      <w:r>
        <w:rPr>
          <w:color w:val="5A6070"/>
          <w:sz w:val="18"/>
        </w:rPr>
        <w:t>Figure A1. KNN validation RMSE against k (mean over folds), by feature set.</w:t>
      </w:r>
    </w:p>
    <w:p>
      <w:pPr>
        <w:keepNext/>
        <w:spacing w:after="0"/>
        <w:jc w:val="center"/>
      </w:pPr>
      <w:r>
        <w:drawing>
          <wp:inline xmlns:a="http://schemas.openxmlformats.org/drawingml/2006/main" xmlns:pic="http://schemas.openxmlformats.org/drawingml/2006/picture">
            <wp:extent cx="4680000" cy="2325511"/>
            <wp:docPr id="4" name="Picture 4"/>
            <wp:cNvGraphicFramePr>
              <a:graphicFrameLocks noChangeAspect="1"/>
            </wp:cNvGraphicFramePr>
            <a:graphic>
              <a:graphicData uri="http://schemas.openxmlformats.org/drawingml/2006/picture">
                <pic:pic>
                  <pic:nvPicPr>
                    <pic:cNvPr id="0" name="rf_permutation_importance_top15.png"/>
                    <pic:cNvPicPr/>
                  </pic:nvPicPr>
                  <pic:blipFill>
                    <a:blip r:embed="rId13"/>
                    <a:stretch>
                      <a:fillRect/>
                    </a:stretch>
                  </pic:blipFill>
                  <pic:spPr>
                    <a:xfrm>
                      <a:off x="0" y="0"/>
                      <a:ext cx="4680000" cy="2325511"/>
                    </a:xfrm>
                    <a:prstGeom prst="rect"/>
                  </pic:spPr>
                </pic:pic>
              </a:graphicData>
            </a:graphic>
          </wp:inline>
        </w:drawing>
      </w:r>
    </w:p>
    <w:p>
      <w:pPr>
        <w:spacing w:after="120"/>
        <w:jc w:val="center"/>
      </w:pPr>
      <w:r>
        <w:rPr>
          <w:color w:val="5A6070"/>
          <w:sz w:val="18"/>
        </w:rPr>
        <w:t>Figure A2. Random Forest (FULL, last fold): permutation importance on the test set, top 15 features.</w:t>
      </w:r>
    </w:p>
    <w:p>
      <w:pPr>
        <w:keepNext/>
        <w:spacing w:after="0"/>
        <w:jc w:val="center"/>
      </w:pPr>
      <w:r>
        <w:drawing>
          <wp:inline xmlns:a="http://schemas.openxmlformats.org/drawingml/2006/main" xmlns:pic="http://schemas.openxmlformats.org/drawingml/2006/picture">
            <wp:extent cx="3960000" cy="2868661"/>
            <wp:docPr id="5" name="Picture 5"/>
            <wp:cNvGraphicFramePr>
              <a:graphicFrameLocks noChangeAspect="1"/>
            </wp:cNvGraphicFramePr>
            <a:graphic>
              <a:graphicData uri="http://schemas.openxmlformats.org/drawingml/2006/picture">
                <pic:pic>
                  <pic:nvPicPr>
                    <pic:cNvPr id="0" name="rf_pdp_emis30_x_btc.png"/>
                    <pic:cNvPicPr/>
                  </pic:nvPicPr>
                  <pic:blipFill>
                    <a:blip r:embed="rId14"/>
                    <a:stretch>
                      <a:fillRect/>
                    </a:stretch>
                  </pic:blipFill>
                  <pic:spPr>
                    <a:xfrm>
                      <a:off x="0" y="0"/>
                      <a:ext cx="3960000" cy="2868661"/>
                    </a:xfrm>
                    <a:prstGeom prst="rect"/>
                  </pic:spPr>
                </pic:pic>
              </a:graphicData>
            </a:graphic>
          </wp:inline>
        </w:drawing>
      </w:r>
    </w:p>
    <w:p>
      <w:pPr>
        <w:spacing w:after="120"/>
        <w:jc w:val="center"/>
      </w:pPr>
      <w:r>
        <w:rPr>
          <w:color w:val="5A6070"/>
          <w:sz w:val="18"/>
        </w:rPr>
        <w:t>Figure A3. Random Forest partial dependence on 30-day unlock pressure across BTC volatility regimes.</w:t>
      </w:r>
    </w:p>
    <w:p>
      <w:pPr>
        <w:keepNext/>
        <w:spacing w:after="0"/>
        <w:jc w:val="center"/>
      </w:pPr>
      <w:r>
        <w:drawing>
          <wp:inline xmlns:a="http://schemas.openxmlformats.org/drawingml/2006/main" xmlns:pic="http://schemas.openxmlformats.org/drawingml/2006/picture">
            <wp:extent cx="5400000" cy="3705882"/>
            <wp:docPr id="6" name="Picture 6"/>
            <wp:cNvGraphicFramePr>
              <a:graphicFrameLocks noChangeAspect="1"/>
            </wp:cNvGraphicFramePr>
            <a:graphic>
              <a:graphicData uri="http://schemas.openxmlformats.org/drawingml/2006/picture">
                <pic:pic>
                  <pic:nvPicPr>
                    <pic:cNvPr id="0" name="linear_coefs_full.png"/>
                    <pic:cNvPicPr/>
                  </pic:nvPicPr>
                  <pic:blipFill>
                    <a:blip r:embed="rId15"/>
                    <a:stretch>
                      <a:fillRect/>
                    </a:stretch>
                  </pic:blipFill>
                  <pic:spPr>
                    <a:xfrm>
                      <a:off x="0" y="0"/>
                      <a:ext cx="5400000" cy="3705882"/>
                    </a:xfrm>
                    <a:prstGeom prst="rect"/>
                  </pic:spPr>
                </pic:pic>
              </a:graphicData>
            </a:graphic>
          </wp:inline>
        </w:drawing>
      </w:r>
    </w:p>
    <w:p>
      <w:pPr>
        <w:spacing w:after="120"/>
        <w:jc w:val="center"/>
      </w:pPr>
      <w:r>
        <w:rPr>
          <w:color w:val="5A6070"/>
          <w:sz w:val="18"/>
        </w:rPr>
        <w:t>Figure A4. Ridge and Elastic Net standardized coefficients (FULL, daily); bars = mean over folds, whiskers = min/max.</w:t>
      </w:r>
    </w:p>
    <w:p>
      <w:pPr>
        <w:keepNext/>
        <w:spacing w:after="0"/>
        <w:jc w:val="center"/>
      </w:pPr>
      <w:r>
        <w:drawing>
          <wp:inline xmlns:a="http://schemas.openxmlformats.org/drawingml/2006/main" xmlns:pic="http://schemas.openxmlformats.org/drawingml/2006/picture">
            <wp:extent cx="5400000" cy="2460034"/>
            <wp:docPr id="7" name="Picture 7"/>
            <wp:cNvGraphicFramePr>
              <a:graphicFrameLocks noChangeAspect="1"/>
            </wp:cNvGraphicFramePr>
            <a:graphic>
              <a:graphicData uri="http://schemas.openxmlformats.org/drawingml/2006/picture">
                <pic:pic>
                  <pic:nvPicPr>
                    <pic:cNvPr id="0" name="logistic_auc.png"/>
                    <pic:cNvPicPr/>
                  </pic:nvPicPr>
                  <pic:blipFill>
                    <a:blip r:embed="rId16"/>
                    <a:stretch>
                      <a:fillRect/>
                    </a:stretch>
                  </pic:blipFill>
                  <pic:spPr>
                    <a:xfrm>
                      <a:off x="0" y="0"/>
                      <a:ext cx="5400000" cy="2460034"/>
                    </a:xfrm>
                    <a:prstGeom prst="rect"/>
                  </pic:spPr>
                </pic:pic>
              </a:graphicData>
            </a:graphic>
          </wp:inline>
        </w:drawing>
      </w:r>
    </w:p>
    <w:p>
      <w:pPr>
        <w:spacing w:after="120"/>
        <w:jc w:val="center"/>
      </w:pPr>
      <w:r>
        <w:rPr>
          <w:color w:val="5A6070"/>
          <w:sz w:val="18"/>
        </w:rPr>
        <w:t>Figure A5. Logistic regression test ROC-AUC, controls vs FULL; dashed = rank by trailing 14d volatility.</w:t>
      </w:r>
    </w:p>
    <w:p>
      <w:pPr>
        <w:keepNext/>
        <w:spacing w:after="0"/>
        <w:jc w:val="center"/>
      </w:pPr>
      <w:r>
        <w:drawing>
          <wp:inline xmlns:a="http://schemas.openxmlformats.org/drawingml/2006/main" xmlns:pic="http://schemas.openxmlformats.org/drawingml/2006/picture">
            <wp:extent cx="4680000" cy="4216727"/>
            <wp:docPr id="8" name="Picture 8"/>
            <wp:cNvGraphicFramePr>
              <a:graphicFrameLocks noChangeAspect="1"/>
            </wp:cNvGraphicFramePr>
            <a:graphic>
              <a:graphicData uri="http://schemas.openxmlformats.org/drawingml/2006/picture">
                <pic:pic>
                  <pic:nvPicPr>
                    <pic:cNvPr id="0" name="eda_correlation_heatmap.png"/>
                    <pic:cNvPicPr/>
                  </pic:nvPicPr>
                  <pic:blipFill>
                    <a:blip r:embed="rId17"/>
                    <a:stretch>
                      <a:fillRect/>
                    </a:stretch>
                  </pic:blipFill>
                  <pic:spPr>
                    <a:xfrm>
                      <a:off x="0" y="0"/>
                      <a:ext cx="4680000" cy="4216727"/>
                    </a:xfrm>
                    <a:prstGeom prst="rect"/>
                  </pic:spPr>
                </pic:pic>
              </a:graphicData>
            </a:graphic>
          </wp:inline>
        </w:drawing>
      </w:r>
    </w:p>
    <w:p>
      <w:pPr>
        <w:spacing w:after="120"/>
        <w:jc w:val="center"/>
      </w:pPr>
      <w:r>
        <w:rPr>
          <w:color w:val="5A6070"/>
          <w:sz w:val="18"/>
        </w:rPr>
        <w:t>Figure A6. Spearman correlations between target, controls and emission features.</w:t>
      </w:r>
    </w:p>
    <w:p>
      <w:pPr>
        <w:jc w:val="both"/>
      </w:pPr>
      <w:r>
        <w:rPr>
          <w:sz w:val="18"/>
        </w:rPr>
        <w:t>Code and data: the full pipeline is in MH6805_token_unlock_volatility.ipynb (repository github.com/watersalamander/MH6805A-Project-Group7), with per-fold results in results/ and figures in figures/.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 w:eastAsiaTheme="majorEastAsia" w:hAnsiTheme="majorHAnsi" w:cstheme="majorBidi" w:ascii="Calibri" w:hAnsi="Calibri"/>
      <w:b/>
      <w:bCs/>
      <w:color w:val="1F2433"/>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 w:eastAsiaTheme="majorEastAsia" w:hAnsiTheme="majorHAnsi" w:cstheme="majorBidi" w:ascii="Calibri" w:hAnsi="Calibri"/>
      <w:b/>
      <w:bCs/>
      <w:color w:val="1F24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