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Fraunces" w:hAnsi="Fraunces"/>
          <w:b w:val="0"/>
          <w:i w:val="0"/>
          <w:color w:val="0D4C39"/>
          <w:sz w:val="56"/>
        </w:rPr>
        <w:t>SERVICE PROPOSAL</w:t>
      </w:r>
    </w:p>
    <w:p>
      <w:r>
        <w:rPr>
          <w:rFonts w:ascii="Jost" w:hAnsi="Jost"/>
          <w:b w:val="0"/>
          <w:i w:val="0"/>
          <w:color w:val="68756D"/>
          <w:sz w:val="22"/>
        </w:rPr>
        <w:t>Prepared for [CLIENT / ORGANISATION]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Prepared by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Date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Valid until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Waters &amp; Co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</w:tr>
    </w:tbl>
    <w:p>
      <w:pPr>
        <w:pStyle w:val="Heading1"/>
      </w:pPr>
      <w:r>
        <w:t>The problem</w:t>
      </w:r>
    </w:p>
    <w:p>
      <w:r>
        <w:t>[Summarise the client’s current problem in their language.]</w:t>
      </w:r>
    </w:p>
    <w:p>
      <w:pPr>
        <w:pStyle w:val="Heading1"/>
      </w:pPr>
      <w:r>
        <w:t>Recommended outcome</w:t>
      </w:r>
    </w:p>
    <w:p>
      <w:r>
        <w:t>[Describe the practical outcome without exposing the internal delivery playbook.]</w:t>
      </w:r>
    </w:p>
    <w:p>
      <w:pPr>
        <w:pStyle w:val="Heading1"/>
      </w:pPr>
      <w:r>
        <w:t>What is included</w:t>
      </w:r>
    </w:p>
    <w:p>
      <w:r>
        <w:t>• [DELIVERABLE]</w:t>
        <w:br/>
        <w:t>• [DELIVERABLE]</w:t>
        <w:br/>
        <w:t>• [DELIVERABLE]</w:t>
      </w:r>
    </w:p>
    <w:p>
      <w:pPr>
        <w:pStyle w:val="Heading1"/>
      </w:pPr>
      <w:r>
        <w:t>Investment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Item</w:t>
            </w:r>
          </w:p>
        </w:tc>
        <w:tc>
          <w:tcPr>
            <w:tcW w:type="dxa" w:w="493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Fee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[SERVICE / PACKAGE]</w:t>
            </w:r>
          </w:p>
        </w:tc>
        <w:tc>
          <w:tcPr>
            <w:tcW w:type="dxa" w:w="493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$[AMOUNT]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Total</w:t>
            </w:r>
          </w:p>
        </w:tc>
        <w:tc>
          <w:tcPr>
            <w:tcW w:type="dxa" w:w="493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$[AMOUNT]</w:t>
            </w:r>
          </w:p>
        </w:tc>
      </w:tr>
    </w:tbl>
    <w:p>
      <w:pPr>
        <w:pStyle w:val="Heading1"/>
      </w:pPr>
      <w:r>
        <w:t>Timing and next step</w:t>
      </w:r>
    </w:p>
    <w:p>
      <w:r>
        <w:t>[START / DELIVERY TIMING]. To proceed, confirm acceptance in writing or use the agreed payment link.</w:t>
      </w:r>
    </w:p>
    <w:p>
      <w:pPr>
        <w:pStyle w:val="Heading1"/>
      </w:pPr>
      <w:r>
        <w:t>Important boundaries</w:t>
      </w:r>
    </w:p>
    <w:p>
      <w:r>
        <w:t>[Add the service-specific limitation, referral or regulatory boundary.]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ost" w:hAnsi="Jost"/>
        <w:b w:val="0"/>
        <w:i w:val="0"/>
        <w:color w:val="68756D"/>
        <w:sz w:val="16"/>
      </w:rPr>
      <w:t>watersandco.info  ·  Practical support. Clear next steps.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4694"/>
    </w:tblGrid>
    <w:tr>
      <w:tc>
        <w:tcPr>
          <w:tcW w:type="dxa" w:w="4939"/>
        </w:tcPr>
        <w:p>
          <w:r>
            <w:drawing>
              <wp:inline xmlns:a="http://schemas.openxmlformats.org/drawingml/2006/main" xmlns:pic="http://schemas.openxmlformats.org/drawingml/2006/picture">
                <wp:extent cx="1874519" cy="280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280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Jost" w:hAnsi="Jost"/>
              <w:b/>
              <w:i w:val="0"/>
              <w:color w:val="D4AF37"/>
              <w:sz w:val="16"/>
            </w:rPr>
            <w:t>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Jost" w:hAnsi="Jost"/>
      <w:color w:val="1820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Fraunces" w:hAnsi="Fraunces"/>
      <w:b w:val="0"/>
      <w:color w:val="0D4C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